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3F9C1B" w14:textId="30EEA62E" w:rsidR="001D5B07" w:rsidRDefault="001D5B07" w:rsidP="001D5B07">
      <w:pPr>
        <w:pStyle w:val="3GPPHeader"/>
        <w:spacing w:after="60"/>
        <w:rPr>
          <w:sz w:val="32"/>
          <w:szCs w:val="32"/>
        </w:rPr>
      </w:pPr>
      <w:r>
        <w:t>3GPP TSG-RAN WG1 Meeting #107-e</w:t>
      </w:r>
      <w:r>
        <w:tab/>
      </w:r>
      <w:r>
        <w:rPr>
          <w:sz w:val="32"/>
          <w:szCs w:val="32"/>
        </w:rPr>
        <w:t>R1-2110773</w:t>
      </w:r>
    </w:p>
    <w:p w14:paraId="49549971" w14:textId="77777777" w:rsidR="001D5B07" w:rsidRDefault="001D5B07" w:rsidP="001D5B07">
      <w:pPr>
        <w:pStyle w:val="3GPPHeader"/>
      </w:pPr>
      <w:r>
        <w:t xml:space="preserve">e-Meeting, </w:t>
      </w:r>
      <w:r>
        <w:rPr>
          <w:lang w:val="en-GB"/>
        </w:rPr>
        <w:t>11</w:t>
      </w:r>
      <w:r>
        <w:rPr>
          <w:vertAlign w:val="superscript"/>
          <w:lang w:val="en-GB"/>
        </w:rPr>
        <w:t>th</w:t>
      </w:r>
      <w:r>
        <w:rPr>
          <w:lang w:val="en-GB"/>
        </w:rPr>
        <w:t xml:space="preserve"> – 19</w:t>
      </w:r>
      <w:r>
        <w:rPr>
          <w:vertAlign w:val="superscript"/>
          <w:lang w:val="en-GB"/>
        </w:rPr>
        <w:t>th</w:t>
      </w:r>
      <w:r>
        <w:rPr>
          <w:lang w:val="en-GB"/>
        </w:rPr>
        <w:t xml:space="preserve"> November 2021</w:t>
      </w:r>
    </w:p>
    <w:p w14:paraId="3086AC07" w14:textId="77777777" w:rsidR="00E90E49" w:rsidRPr="00CE0424" w:rsidRDefault="00E90E49" w:rsidP="00357380">
      <w:pPr>
        <w:pStyle w:val="3GPPHeader"/>
      </w:pPr>
    </w:p>
    <w:p w14:paraId="3982483C" w14:textId="54F1D495"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D862EA">
        <w:rPr>
          <w:sz w:val="22"/>
        </w:rPr>
        <w:t>1</w:t>
      </w:r>
      <w:r w:rsidR="001D5B07">
        <w:rPr>
          <w:sz w:val="22"/>
        </w:rPr>
        <w:t>6</w:t>
      </w:r>
      <w:r w:rsidR="00D862EA">
        <w:rPr>
          <w:sz w:val="22"/>
        </w:rPr>
        <w:t>.6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378DC34" w:rsidR="00E90E49" w:rsidRPr="00CE0424" w:rsidRDefault="003D3C45" w:rsidP="00311702">
      <w:pPr>
        <w:pStyle w:val="3GPPHeader"/>
        <w:rPr>
          <w:sz w:val="22"/>
        </w:rPr>
      </w:pPr>
      <w:r>
        <w:rPr>
          <w:sz w:val="22"/>
        </w:rPr>
        <w:t>Title:</w:t>
      </w:r>
      <w:r w:rsidR="00E90E49" w:rsidRPr="00CE0424">
        <w:rPr>
          <w:sz w:val="22"/>
        </w:rPr>
        <w:tab/>
      </w:r>
      <w:r w:rsidR="00D862EA">
        <w:rPr>
          <w:sz w:val="22"/>
        </w:rPr>
        <w:t>UE features</w:t>
      </w:r>
      <w:r w:rsidR="00E95143" w:rsidRPr="00E95143">
        <w:rPr>
          <w:sz w:val="22"/>
        </w:rPr>
        <w:t xml:space="preserve">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338F3AA4" w14:textId="760F7C50" w:rsidR="00002766" w:rsidRDefault="000F07C8" w:rsidP="00F81C39">
      <w:pPr>
        <w:pStyle w:val="BodyText"/>
        <w:rPr>
          <w:rFonts w:cs="Arial"/>
        </w:rPr>
      </w:pPr>
      <w:bookmarkStart w:id="0" w:name="_Toc67770514"/>
      <w:bookmarkEnd w:id="0"/>
      <w:r>
        <w:rPr>
          <w:rFonts w:cs="Arial"/>
        </w:rPr>
        <w:t xml:space="preserve">This contribution </w:t>
      </w:r>
      <w:r w:rsidR="00D346A5">
        <w:rPr>
          <w:rFonts w:cs="Arial"/>
        </w:rPr>
        <w:t>concerns the new</w:t>
      </w:r>
      <w:r>
        <w:rPr>
          <w:rFonts w:cs="Arial"/>
        </w:rPr>
        <w:t xml:space="preserve"> </w:t>
      </w:r>
      <w:r w:rsidR="0085716C">
        <w:rPr>
          <w:rFonts w:cs="Arial"/>
        </w:rPr>
        <w:t xml:space="preserve">RAN1 </w:t>
      </w:r>
      <w:r>
        <w:rPr>
          <w:rFonts w:cs="Arial"/>
        </w:rPr>
        <w:t xml:space="preserve">UE features associated with the Rel-17 WI on support of reduced capability (RedCap) NR devices </w:t>
      </w:r>
      <w:r w:rsidR="00DF12A3">
        <w:rPr>
          <w:rFonts w:cs="Arial"/>
        </w:rPr>
        <w:fldChar w:fldCharType="begin"/>
      </w:r>
      <w:r w:rsidR="00DF12A3">
        <w:rPr>
          <w:rFonts w:cs="Arial"/>
        </w:rPr>
        <w:instrText xml:space="preserve"> REF _Ref65143491 \r \h </w:instrText>
      </w:r>
      <w:r w:rsidR="00DF12A3">
        <w:rPr>
          <w:rFonts w:cs="Arial"/>
        </w:rPr>
      </w:r>
      <w:r w:rsidR="00DF12A3">
        <w:rPr>
          <w:rFonts w:cs="Arial"/>
        </w:rPr>
        <w:fldChar w:fldCharType="separate"/>
      </w:r>
      <w:r w:rsidR="004667B6">
        <w:rPr>
          <w:rFonts w:cs="Arial"/>
        </w:rPr>
        <w:t>[1]</w:t>
      </w:r>
      <w:r w:rsidR="00DF12A3">
        <w:rPr>
          <w:rFonts w:cs="Arial"/>
        </w:rPr>
        <w:fldChar w:fldCharType="end"/>
      </w:r>
      <w:r>
        <w:rPr>
          <w:rFonts w:cs="Arial"/>
        </w:rPr>
        <w:t>.</w:t>
      </w:r>
    </w:p>
    <w:p w14:paraId="354CDFD1" w14:textId="27EF0E97" w:rsidR="00F81C39" w:rsidRPr="002216CA" w:rsidRDefault="00005FE0" w:rsidP="00F81C39">
      <w:pPr>
        <w:pStyle w:val="BodyText"/>
        <w:rPr>
          <w:rFonts w:cs="Arial"/>
        </w:rPr>
      </w:pPr>
      <w:r>
        <w:rPr>
          <w:rFonts w:cs="Arial"/>
        </w:rPr>
        <w:t xml:space="preserve">Current Rel-16 UE capability definitions and UE feature lists can be found in </w:t>
      </w:r>
      <w:r w:rsidR="002E117E">
        <w:rPr>
          <w:rFonts w:cs="Arial"/>
        </w:rPr>
        <w:fldChar w:fldCharType="begin"/>
      </w:r>
      <w:r w:rsidR="002E117E">
        <w:rPr>
          <w:rFonts w:cs="Arial"/>
        </w:rPr>
        <w:instrText xml:space="preserve"> REF _Ref83720302 \r \h </w:instrText>
      </w:r>
      <w:r w:rsidR="002E117E">
        <w:rPr>
          <w:rFonts w:cs="Arial"/>
        </w:rPr>
      </w:r>
      <w:r w:rsidR="002E117E">
        <w:rPr>
          <w:rFonts w:cs="Arial"/>
        </w:rPr>
        <w:fldChar w:fldCharType="separate"/>
      </w:r>
      <w:r w:rsidR="004667B6">
        <w:rPr>
          <w:rFonts w:cs="Arial"/>
        </w:rPr>
        <w:t>[2]</w:t>
      </w:r>
      <w:r w:rsidR="002E117E">
        <w:rPr>
          <w:rFonts w:cs="Arial"/>
        </w:rPr>
        <w:fldChar w:fldCharType="end"/>
      </w:r>
      <w:r w:rsidR="002E117E">
        <w:rPr>
          <w:rFonts w:cs="Arial"/>
        </w:rPr>
        <w:fldChar w:fldCharType="begin"/>
      </w:r>
      <w:r w:rsidR="002E117E">
        <w:rPr>
          <w:rFonts w:cs="Arial"/>
        </w:rPr>
        <w:instrText xml:space="preserve"> REF _Ref86964538 \r \h </w:instrText>
      </w:r>
      <w:r w:rsidR="002E117E">
        <w:rPr>
          <w:rFonts w:cs="Arial"/>
        </w:rPr>
      </w:r>
      <w:r w:rsidR="002E117E">
        <w:rPr>
          <w:rFonts w:cs="Arial"/>
        </w:rPr>
        <w:fldChar w:fldCharType="separate"/>
      </w:r>
      <w:r w:rsidR="004667B6">
        <w:rPr>
          <w:rFonts w:cs="Arial"/>
        </w:rPr>
        <w:t>[3]</w:t>
      </w:r>
      <w:r w:rsidR="002E117E">
        <w:rPr>
          <w:rFonts w:cs="Arial"/>
        </w:rPr>
        <w:fldChar w:fldCharType="end"/>
      </w:r>
      <w:r>
        <w:rPr>
          <w:rFonts w:cs="Arial"/>
        </w:rPr>
        <w:t xml:space="preserve">. </w:t>
      </w:r>
      <w:r w:rsidR="006F212A">
        <w:rPr>
          <w:rFonts w:cs="Arial"/>
        </w:rPr>
        <w:t>Some</w:t>
      </w:r>
      <w:r w:rsidR="00F81C39">
        <w:rPr>
          <w:rFonts w:cs="Arial"/>
        </w:rPr>
        <w:t xml:space="preserve"> guidelines provided by RAN2 during the work with the Rel-16 UE feature list</w:t>
      </w:r>
      <w:r w:rsidR="006F212A">
        <w:rPr>
          <w:rFonts w:cs="Arial"/>
        </w:rPr>
        <w:t xml:space="preserve"> can be found in</w:t>
      </w:r>
      <w:r w:rsidR="00F81C39">
        <w:rPr>
          <w:rFonts w:cs="Arial"/>
        </w:rPr>
        <w:t xml:space="preserve"> </w:t>
      </w:r>
      <w:r w:rsidR="002E117E">
        <w:rPr>
          <w:rFonts w:cs="Arial"/>
        </w:rPr>
        <w:fldChar w:fldCharType="begin"/>
      </w:r>
      <w:r w:rsidR="002E117E">
        <w:rPr>
          <w:rFonts w:cs="Arial"/>
        </w:rPr>
        <w:instrText xml:space="preserve"> REF _Ref86964547 \r \h </w:instrText>
      </w:r>
      <w:r w:rsidR="002E117E">
        <w:rPr>
          <w:rFonts w:cs="Arial"/>
        </w:rPr>
      </w:r>
      <w:r w:rsidR="002E117E">
        <w:rPr>
          <w:rFonts w:cs="Arial"/>
        </w:rPr>
        <w:fldChar w:fldCharType="separate"/>
      </w:r>
      <w:r w:rsidR="004667B6">
        <w:rPr>
          <w:rFonts w:cs="Arial"/>
        </w:rPr>
        <w:t>[4]</w:t>
      </w:r>
      <w:r w:rsidR="002E117E">
        <w:rPr>
          <w:rFonts w:cs="Arial"/>
        </w:rPr>
        <w:fldChar w:fldCharType="end"/>
      </w:r>
      <w:r w:rsidR="006F212A">
        <w:rPr>
          <w:rFonts w:cs="Arial"/>
        </w:rPr>
        <w:fldChar w:fldCharType="begin"/>
      </w:r>
      <w:r w:rsidR="006F212A">
        <w:rPr>
          <w:rFonts w:cs="Arial"/>
        </w:rPr>
        <w:instrText xml:space="preserve"> REF _Ref84039460 \r \h </w:instrText>
      </w:r>
      <w:r w:rsidR="006F212A">
        <w:rPr>
          <w:rFonts w:cs="Arial"/>
        </w:rPr>
      </w:r>
      <w:r w:rsidR="006F212A">
        <w:rPr>
          <w:rFonts w:cs="Arial"/>
        </w:rPr>
        <w:fldChar w:fldCharType="separate"/>
      </w:r>
      <w:r w:rsidR="004667B6">
        <w:rPr>
          <w:rFonts w:cs="Arial"/>
        </w:rPr>
        <w:t>[5]</w:t>
      </w:r>
      <w:r w:rsidR="006F212A">
        <w:rPr>
          <w:rFonts w:cs="Arial"/>
        </w:rPr>
        <w:fldChar w:fldCharType="end"/>
      </w:r>
      <w:r w:rsidR="006F212A">
        <w:rPr>
          <w:rFonts w:cs="Arial"/>
        </w:rPr>
        <w:fldChar w:fldCharType="begin"/>
      </w:r>
      <w:r w:rsidR="006F212A">
        <w:rPr>
          <w:rFonts w:cs="Arial"/>
        </w:rPr>
        <w:instrText xml:space="preserve"> REF _Ref84039461 \r \h </w:instrText>
      </w:r>
      <w:r w:rsidR="006F212A">
        <w:rPr>
          <w:rFonts w:cs="Arial"/>
        </w:rPr>
      </w:r>
      <w:r w:rsidR="006F212A">
        <w:rPr>
          <w:rFonts w:cs="Arial"/>
        </w:rPr>
        <w:fldChar w:fldCharType="separate"/>
      </w:r>
      <w:r w:rsidR="004667B6">
        <w:rPr>
          <w:rFonts w:cs="Arial"/>
        </w:rPr>
        <w:t>[6]</w:t>
      </w:r>
      <w:r w:rsidR="006F212A">
        <w:rPr>
          <w:rFonts w:cs="Arial"/>
        </w:rPr>
        <w:fldChar w:fldCharType="end"/>
      </w:r>
      <w:r w:rsidR="00F81C39">
        <w:rPr>
          <w:rFonts w:cs="Arial"/>
        </w:rPr>
        <w:t>.</w:t>
      </w:r>
    </w:p>
    <w:p w14:paraId="5C9B926C" w14:textId="06739941" w:rsidR="00F81C39" w:rsidRDefault="00DF12A3" w:rsidP="002216CA">
      <w:pPr>
        <w:pStyle w:val="BodyText"/>
        <w:rPr>
          <w:rFonts w:cs="Arial"/>
        </w:rPr>
      </w:pPr>
      <w:r>
        <w:rPr>
          <w:rFonts w:cs="Arial"/>
        </w:rPr>
        <w:t xml:space="preserve">Based on agreements </w:t>
      </w:r>
      <w:r w:rsidR="00BC31AA">
        <w:rPr>
          <w:rFonts w:cs="Arial"/>
        </w:rPr>
        <w:t xml:space="preserve">made so far </w:t>
      </w:r>
      <w:r>
        <w:rPr>
          <w:rFonts w:cs="Arial"/>
        </w:rPr>
        <w:t>for RedCap</w:t>
      </w:r>
      <w:r w:rsidR="00304AE9">
        <w:rPr>
          <w:rFonts w:cs="Arial"/>
        </w:rPr>
        <w:t xml:space="preserve"> </w:t>
      </w:r>
      <w:r w:rsidR="00304AE9">
        <w:rPr>
          <w:rFonts w:cs="Arial"/>
        </w:rPr>
        <w:fldChar w:fldCharType="begin"/>
      </w:r>
      <w:r w:rsidR="00304AE9">
        <w:rPr>
          <w:rFonts w:cs="Arial"/>
        </w:rPr>
        <w:instrText xml:space="preserve"> REF _Ref83735859 \r \h </w:instrText>
      </w:r>
      <w:r w:rsidR="00304AE9">
        <w:rPr>
          <w:rFonts w:cs="Arial"/>
        </w:rPr>
      </w:r>
      <w:r w:rsidR="00304AE9">
        <w:rPr>
          <w:rFonts w:cs="Arial"/>
        </w:rPr>
        <w:fldChar w:fldCharType="separate"/>
      </w:r>
      <w:r w:rsidR="004667B6">
        <w:rPr>
          <w:rFonts w:cs="Arial"/>
        </w:rPr>
        <w:t>[7]</w:t>
      </w:r>
      <w:r w:rsidR="00304AE9">
        <w:rPr>
          <w:rFonts w:cs="Arial"/>
        </w:rPr>
        <w:fldChar w:fldCharType="end"/>
      </w:r>
      <w:r>
        <w:rPr>
          <w:rFonts w:cs="Arial"/>
        </w:rPr>
        <w:t xml:space="preserve">, </w:t>
      </w:r>
      <w:r w:rsidR="0088304E">
        <w:rPr>
          <w:rFonts w:cs="Arial"/>
        </w:rPr>
        <w:t xml:space="preserve">RAN1 discussed the </w:t>
      </w:r>
      <w:r>
        <w:rPr>
          <w:rFonts w:cs="Arial"/>
        </w:rPr>
        <w:t xml:space="preserve">UE feature list for RedCap </w:t>
      </w:r>
      <w:r w:rsidR="0088304E">
        <w:rPr>
          <w:rFonts w:cs="Arial"/>
        </w:rPr>
        <w:fldChar w:fldCharType="begin"/>
      </w:r>
      <w:r w:rsidR="0088304E">
        <w:rPr>
          <w:rFonts w:cs="Arial"/>
        </w:rPr>
        <w:instrText xml:space="preserve"> REF _Ref86947365 \r \h </w:instrText>
      </w:r>
      <w:r w:rsidR="0088304E">
        <w:rPr>
          <w:rFonts w:cs="Arial"/>
        </w:rPr>
      </w:r>
      <w:r w:rsidR="0088304E">
        <w:rPr>
          <w:rFonts w:cs="Arial"/>
        </w:rPr>
        <w:fldChar w:fldCharType="separate"/>
      </w:r>
      <w:r w:rsidR="004667B6">
        <w:rPr>
          <w:rFonts w:cs="Arial"/>
        </w:rPr>
        <w:t>[8]</w:t>
      </w:r>
      <w:r w:rsidR="0088304E">
        <w:rPr>
          <w:rFonts w:cs="Arial"/>
        </w:rPr>
        <w:fldChar w:fldCharType="end"/>
      </w:r>
      <w:r w:rsidR="0088304E">
        <w:rPr>
          <w:rFonts w:cs="Arial"/>
        </w:rPr>
        <w:t>, resulting in the UE feature list captured in</w:t>
      </w:r>
      <w:r w:rsidR="00E7306E">
        <w:rPr>
          <w:rFonts w:cs="Arial"/>
        </w:rPr>
        <w:t xml:space="preserve"> </w:t>
      </w:r>
      <w:r w:rsidR="00E7306E">
        <w:rPr>
          <w:rFonts w:cs="Arial"/>
        </w:rPr>
        <w:fldChar w:fldCharType="begin"/>
      </w:r>
      <w:r w:rsidR="00E7306E">
        <w:rPr>
          <w:rFonts w:cs="Arial"/>
        </w:rPr>
        <w:instrText xml:space="preserve"> REF _Ref86947311 \r \h </w:instrText>
      </w:r>
      <w:r w:rsidR="00E7306E">
        <w:rPr>
          <w:rFonts w:cs="Arial"/>
        </w:rPr>
      </w:r>
      <w:r w:rsidR="00E7306E">
        <w:rPr>
          <w:rFonts w:cs="Arial"/>
        </w:rPr>
        <w:fldChar w:fldCharType="separate"/>
      </w:r>
      <w:r w:rsidR="004667B6">
        <w:rPr>
          <w:rFonts w:cs="Arial"/>
        </w:rPr>
        <w:t>[9]</w:t>
      </w:r>
      <w:r w:rsidR="00E7306E">
        <w:rPr>
          <w:rFonts w:cs="Arial"/>
        </w:rPr>
        <w:fldChar w:fldCharType="end"/>
      </w:r>
      <w:r>
        <w:rPr>
          <w:rFonts w:cs="Arial"/>
        </w:rPr>
        <w:t xml:space="preserve">, </w:t>
      </w:r>
      <w:r w:rsidR="0088304E">
        <w:rPr>
          <w:rFonts w:cs="Arial"/>
        </w:rPr>
        <w:t>which has been</w:t>
      </w:r>
      <w:r>
        <w:rPr>
          <w:rFonts w:cs="Arial"/>
        </w:rPr>
        <w:t xml:space="preserve"> copied into </w:t>
      </w:r>
      <w:r w:rsidR="00CC1729">
        <w:rPr>
          <w:rFonts w:cs="Arial"/>
        </w:rPr>
        <w:t xml:space="preserve">the </w:t>
      </w:r>
      <w:r>
        <w:rPr>
          <w:rFonts w:cs="Arial"/>
        </w:rPr>
        <w:t>Annex</w:t>
      </w:r>
      <w:r w:rsidR="00F81C39">
        <w:rPr>
          <w:rFonts w:cs="Arial"/>
        </w:rPr>
        <w:t xml:space="preserve"> </w:t>
      </w:r>
      <w:r>
        <w:rPr>
          <w:rFonts w:cs="Arial"/>
        </w:rPr>
        <w:t>of this contribution for convenience.</w:t>
      </w:r>
    </w:p>
    <w:p w14:paraId="19C59DC9" w14:textId="2827A610" w:rsidR="0088304E" w:rsidRDefault="00F44FD8" w:rsidP="002216CA">
      <w:pPr>
        <w:pStyle w:val="BodyText"/>
        <w:rPr>
          <w:rFonts w:cs="Arial"/>
        </w:rPr>
      </w:pPr>
      <w:r>
        <w:rPr>
          <w:rFonts w:cs="Arial"/>
        </w:rPr>
        <w:t xml:space="preserve">Furthermore, RAN2 has sent an LS to RAN1 </w:t>
      </w:r>
      <w:r>
        <w:rPr>
          <w:rFonts w:cs="Arial"/>
        </w:rPr>
        <w:fldChar w:fldCharType="begin"/>
      </w:r>
      <w:r>
        <w:rPr>
          <w:rFonts w:cs="Arial"/>
        </w:rPr>
        <w:instrText xml:space="preserve"> REF _Ref86873143 \r \h </w:instrText>
      </w:r>
      <w:r>
        <w:rPr>
          <w:rFonts w:cs="Arial"/>
        </w:rPr>
      </w:r>
      <w:r>
        <w:rPr>
          <w:rFonts w:cs="Arial"/>
        </w:rPr>
        <w:fldChar w:fldCharType="separate"/>
      </w:r>
      <w:r w:rsidR="004667B6">
        <w:rPr>
          <w:rFonts w:cs="Arial"/>
        </w:rPr>
        <w:t>[10]</w:t>
      </w:r>
      <w:r>
        <w:rPr>
          <w:rFonts w:cs="Arial"/>
        </w:rPr>
        <w:fldChar w:fldCharType="end"/>
      </w:r>
      <w:r>
        <w:rPr>
          <w:rFonts w:cs="Arial"/>
        </w:rPr>
        <w:t xml:space="preserve"> to ask</w:t>
      </w:r>
      <w:r w:rsidR="00E54780">
        <w:rPr>
          <w:rFonts w:cs="Arial"/>
        </w:rPr>
        <w:t xml:space="preserve"> RAN1</w:t>
      </w:r>
      <w:r w:rsidRPr="00F44FD8">
        <w:rPr>
          <w:rFonts w:cs="Arial"/>
        </w:rPr>
        <w:t xml:space="preserve"> whether there are any Rel-15</w:t>
      </w:r>
      <w:r>
        <w:rPr>
          <w:rFonts w:cs="Arial"/>
        </w:rPr>
        <w:t xml:space="preserve">/16 </w:t>
      </w:r>
      <w:r w:rsidRPr="00F44FD8">
        <w:rPr>
          <w:rFonts w:cs="Arial"/>
        </w:rPr>
        <w:t>UE features or capabilities which should not be applicable for RedCap UEs</w:t>
      </w:r>
      <w:r>
        <w:rPr>
          <w:rFonts w:cs="Arial"/>
        </w:rPr>
        <w:t>. RAN1</w:t>
      </w:r>
      <w:r w:rsidR="00DE7160">
        <w:rPr>
          <w:rFonts w:cs="Arial"/>
        </w:rPr>
        <w:t xml:space="preserve"> has</w:t>
      </w:r>
      <w:r>
        <w:rPr>
          <w:rFonts w:cs="Arial"/>
        </w:rPr>
        <w:t xml:space="preserve"> had initial discussions on this topic in the previous meeting, captured in </w:t>
      </w:r>
      <w:r w:rsidR="0058050C">
        <w:rPr>
          <w:rFonts w:cs="Arial"/>
        </w:rPr>
        <w:fldChar w:fldCharType="begin"/>
      </w:r>
      <w:r w:rsidR="0058050C">
        <w:rPr>
          <w:rFonts w:cs="Arial"/>
        </w:rPr>
        <w:instrText xml:space="preserve"> REF _Ref86947682 \r \h </w:instrText>
      </w:r>
      <w:r w:rsidR="0058050C">
        <w:rPr>
          <w:rFonts w:cs="Arial"/>
        </w:rPr>
      </w:r>
      <w:r w:rsidR="0058050C">
        <w:rPr>
          <w:rFonts w:cs="Arial"/>
        </w:rPr>
        <w:fldChar w:fldCharType="separate"/>
      </w:r>
      <w:r w:rsidR="004667B6">
        <w:rPr>
          <w:rFonts w:cs="Arial"/>
        </w:rPr>
        <w:t>[11]</w:t>
      </w:r>
      <w:r w:rsidR="0058050C">
        <w:rPr>
          <w:rFonts w:cs="Arial"/>
        </w:rPr>
        <w:fldChar w:fldCharType="end"/>
      </w:r>
      <w:r>
        <w:rPr>
          <w:rFonts w:cs="Arial"/>
        </w:rPr>
        <w:t>.</w:t>
      </w:r>
    </w:p>
    <w:p w14:paraId="3CEFCFC1" w14:textId="4054CF1A" w:rsidR="00D729B7" w:rsidRPr="00035752" w:rsidRDefault="00D729B7" w:rsidP="00D729B7">
      <w:pPr>
        <w:pStyle w:val="Heading1"/>
      </w:pPr>
      <w:bookmarkStart w:id="1" w:name="_In-sequence_SDU_delivery"/>
      <w:bookmarkEnd w:id="1"/>
      <w:r>
        <w:t>2</w:t>
      </w:r>
      <w:r>
        <w:tab/>
      </w:r>
      <w:r w:rsidR="00D4271D">
        <w:t xml:space="preserve">RedCap </w:t>
      </w:r>
      <w:r w:rsidR="00CB5640">
        <w:t>feature</w:t>
      </w:r>
      <w:r w:rsidR="00D21206">
        <w:t>s</w:t>
      </w:r>
    </w:p>
    <w:p w14:paraId="0595A9E6" w14:textId="50B68AA6" w:rsidR="00B770B3" w:rsidRPr="00F91904" w:rsidRDefault="004A21A5" w:rsidP="004A21A5">
      <w:pPr>
        <w:pStyle w:val="Heading2"/>
      </w:pPr>
      <w:r>
        <w:t>2.1</w:t>
      </w:r>
      <w:r>
        <w:tab/>
      </w:r>
      <w:r w:rsidR="00B770B3" w:rsidRPr="00F91904">
        <w:t>FG 28-1 (‘RedCap UE’)</w:t>
      </w:r>
    </w:p>
    <w:p w14:paraId="1B8B1FF9" w14:textId="77777777" w:rsidR="00CA5D0C" w:rsidRDefault="005E329B" w:rsidP="00D729B7">
      <w:pPr>
        <w:pStyle w:val="BodyText"/>
        <w:rPr>
          <w:rFonts w:cs="Arial"/>
        </w:rPr>
      </w:pPr>
      <w:r>
        <w:rPr>
          <w:rFonts w:cs="Arial"/>
        </w:rPr>
        <w:t xml:space="preserve">FG 28-1 (‘RedCap UE’) is only defined by the reduced maximum UE bandwidth. We would be fine with adding more basic features in the definition if needed. The need seems to depend on whether other FGs are additive or subtractive relative to FG 28-1. Traditionally, FGs are additive, meaning that they add functionality rather than remove functionality. If we want to go this way, FG 28-1 should be defined so that it corresponds to the simplest Rel-17 RedCap UE. In that case, FG 28-1 should </w:t>
      </w:r>
      <w:r w:rsidR="0017529F">
        <w:rPr>
          <w:rFonts w:cs="Arial"/>
        </w:rPr>
        <w:t>have additional components corresponding to single Rx branch, single DL MIMO layer, HD-FDD operation (in case of FDD bands), and no DL 256QAM support (in case of FR1), and then separate capability indications would be needed for RedCap UEs that happen to support one or more of two Rx branches, two DL MIMO layers, FD-FDD operation (in case of FDD bands), and DL 256QAM support (in case of FR1).</w:t>
      </w:r>
    </w:p>
    <w:p w14:paraId="6DEC349A" w14:textId="46C4C753" w:rsidR="00C83E66" w:rsidRDefault="005E329B" w:rsidP="00C83E66">
      <w:pPr>
        <w:pStyle w:val="Proposal"/>
      </w:pPr>
      <w:bookmarkStart w:id="2" w:name="_Toc87060249"/>
      <w:r>
        <w:t>For FG 28-1 (‘RedCap UE’),</w:t>
      </w:r>
      <w:r w:rsidR="00897E79">
        <w:t xml:space="preserve"> add components so that FG 28-1 corresponds to the simplest Rel-17 RedCap UE</w:t>
      </w:r>
      <w:r w:rsidR="00C83E66">
        <w:t xml:space="preserve">, i.e., single Rx branch, single DL MIMO layer, HD-FDD operation (in </w:t>
      </w:r>
      <w:r w:rsidR="00A16C0F">
        <w:t>F</w:t>
      </w:r>
      <w:r w:rsidR="00C83E66">
        <w:t>DD bands), and no DL 256QAM support (in FR1). Note that in that case, the other RedCap FGs should be defined so that they add functionality</w:t>
      </w:r>
      <w:r w:rsidR="006D73C6">
        <w:t xml:space="preserve"> (two Rx branches, two DL MIMO layers, FD-FDD operation, DL 256QAM)</w:t>
      </w:r>
      <w:r w:rsidR="00C83E66">
        <w:t xml:space="preserve"> on top of FG 28-1.</w:t>
      </w:r>
      <w:bookmarkEnd w:id="2"/>
    </w:p>
    <w:p w14:paraId="39E48E2D" w14:textId="6BCE9FBB" w:rsidR="00CA5D0C" w:rsidRPr="00CA5D0C" w:rsidRDefault="00CA5D0C" w:rsidP="00CA5D0C">
      <w:pPr>
        <w:pStyle w:val="BodyText"/>
        <w:rPr>
          <w:rFonts w:cs="Arial"/>
          <w:color w:val="FF0000"/>
        </w:rPr>
      </w:pPr>
      <w:r w:rsidRPr="00CA5D0C">
        <w:rPr>
          <w:rFonts w:cs="Arial"/>
          <w:color w:val="FF0000"/>
        </w:rPr>
        <w:t>Note that the above proposal may have impact on all RedCap FGs.</w:t>
      </w:r>
    </w:p>
    <w:p w14:paraId="4AFBD343" w14:textId="77777777" w:rsidR="00CA5D0C" w:rsidRDefault="00CA5D0C" w:rsidP="00D729B7">
      <w:pPr>
        <w:pStyle w:val="BodyText"/>
        <w:rPr>
          <w:rFonts w:cs="Arial"/>
        </w:rPr>
      </w:pPr>
    </w:p>
    <w:p w14:paraId="53C0FA02" w14:textId="195EC212" w:rsidR="00D729B7" w:rsidRDefault="00D729B7" w:rsidP="00D729B7">
      <w:pPr>
        <w:pStyle w:val="BodyText"/>
        <w:rPr>
          <w:rFonts w:cs="Arial"/>
        </w:rPr>
      </w:pPr>
      <w:r>
        <w:rPr>
          <w:rFonts w:cs="Arial"/>
        </w:rPr>
        <w:t>For FG 28-1 (‘RedCap UE’), FR1/FR2 differentiation would be needed if it is desired to indicate that a UE supporting both FR1 and FR2 is a RedCap UE in one of the frequency ranges but not in the other frequency range. It is currently not clear to us whether there might be a need for such a hybrid UE.</w:t>
      </w:r>
    </w:p>
    <w:p w14:paraId="2D440202" w14:textId="0865080B" w:rsidR="00D729B7" w:rsidRDefault="0057029E" w:rsidP="00D729B7">
      <w:pPr>
        <w:pStyle w:val="Proposal"/>
      </w:pPr>
      <w:bookmarkStart w:id="3" w:name="_Toc87060250"/>
      <w:r>
        <w:lastRenderedPageBreak/>
        <w:t>For FG 28-1</w:t>
      </w:r>
      <w:r w:rsidR="00400DC8">
        <w:t xml:space="preserve"> (‘RedCap UE’)</w:t>
      </w:r>
      <w:r>
        <w:t>, d</w:t>
      </w:r>
      <w:r w:rsidR="00D729B7">
        <w:t>iscuss whether there is any need of FR1/FR2 differentiation.</w:t>
      </w:r>
      <w:bookmarkEnd w:id="3"/>
    </w:p>
    <w:p w14:paraId="250DD40E" w14:textId="2B399CDE" w:rsidR="00D729B7" w:rsidRPr="00CA23C5" w:rsidRDefault="00767091" w:rsidP="00D729B7">
      <w:pPr>
        <w:pStyle w:val="Proposal"/>
      </w:pPr>
      <w:bookmarkStart w:id="4" w:name="_Toc87060251"/>
      <w:r>
        <w:t>For FG 28-1</w:t>
      </w:r>
      <w:r w:rsidR="00400DC8">
        <w:t xml:space="preserve"> (‘RedCap UE’)</w:t>
      </w:r>
      <w:r>
        <w:t xml:space="preserve">, </w:t>
      </w:r>
      <w:r w:rsidR="00F9137B">
        <w:t>for the fields</w:t>
      </w:r>
      <w:r w:rsidR="00354C92">
        <w:t xml:space="preserve"> “Consequences if not supported”, “Type”, “Need of FDD/TDD differentiation”</w:t>
      </w:r>
      <w:r w:rsidR="00400DC8">
        <w:t xml:space="preserve"> </w:t>
      </w:r>
      <w:r w:rsidR="00354C92">
        <w:t>and “Note”, the highlighted text can be used as is.</w:t>
      </w:r>
      <w:bookmarkEnd w:id="4"/>
    </w:p>
    <w:p w14:paraId="2F5EB060" w14:textId="54CEC9AC" w:rsidR="00B770B3" w:rsidRPr="00F91904" w:rsidRDefault="004A21A5" w:rsidP="004A21A5">
      <w:pPr>
        <w:pStyle w:val="Heading2"/>
      </w:pPr>
      <w:r>
        <w:t>2.2</w:t>
      </w:r>
      <w:r>
        <w:tab/>
      </w:r>
      <w:r w:rsidR="00B770B3" w:rsidRPr="00F91904">
        <w:t>FG 28-2 (‘Number of UE Rx branches and DL MIMO layers for RedCap UE’)</w:t>
      </w:r>
    </w:p>
    <w:p w14:paraId="7C713CD9" w14:textId="51FBF6D4" w:rsidR="00220DDA" w:rsidRDefault="00220DDA" w:rsidP="00D729B7">
      <w:pPr>
        <w:pStyle w:val="BodyText"/>
        <w:rPr>
          <w:rFonts w:cs="Arial"/>
        </w:rPr>
      </w:pPr>
      <w:r>
        <w:rPr>
          <w:rFonts w:cs="Arial"/>
        </w:rPr>
        <w:t>To our understanding, it is likely that it will be desired to indicate support of different number of Rx branches for different bands.</w:t>
      </w:r>
    </w:p>
    <w:p w14:paraId="6A66F0B0" w14:textId="1B9F2E74" w:rsidR="00F22A9F" w:rsidRPr="00CA23C5" w:rsidRDefault="00D729B7" w:rsidP="00D729B7">
      <w:pPr>
        <w:pStyle w:val="Proposal"/>
      </w:pPr>
      <w:bookmarkStart w:id="5" w:name="_Toc87060252"/>
      <w:r>
        <w:t>FG 28-</w:t>
      </w:r>
      <w:r w:rsidR="00220DDA">
        <w:t>2</w:t>
      </w:r>
      <w:r>
        <w:t xml:space="preserve"> (‘</w:t>
      </w:r>
      <w:r w:rsidR="00220DDA" w:rsidRPr="00220DDA">
        <w:t>Number of UE Rx branches and DL MIMO layers for RedCap UE’</w:t>
      </w:r>
      <w:r>
        <w:t>’)</w:t>
      </w:r>
      <w:r w:rsidR="00220DDA">
        <w:t xml:space="preserve"> is</w:t>
      </w:r>
      <w:r w:rsidR="00AF7C50">
        <w:t xml:space="preserve"> per band</w:t>
      </w:r>
      <w:r w:rsidR="004667B6">
        <w:t xml:space="preserve"> (or per FSPC if it is desired to align with legacy signaling solution)</w:t>
      </w:r>
      <w:r w:rsidR="00220DDA">
        <w:t>.</w:t>
      </w:r>
      <w:bookmarkEnd w:id="5"/>
    </w:p>
    <w:p w14:paraId="57C8407D" w14:textId="31C0ED71" w:rsidR="00B770B3" w:rsidRPr="00F91904" w:rsidRDefault="004A21A5" w:rsidP="004A21A5">
      <w:pPr>
        <w:pStyle w:val="Heading2"/>
      </w:pPr>
      <w:r>
        <w:t>2.3</w:t>
      </w:r>
      <w:r>
        <w:tab/>
      </w:r>
      <w:r w:rsidR="00B770B3" w:rsidRPr="00F91904">
        <w:t>FG 28-3 (‘Half-duplex FDD operation for RedCap UE’)</w:t>
      </w:r>
    </w:p>
    <w:p w14:paraId="15B67D75" w14:textId="478EDC3D" w:rsidR="00D729B7" w:rsidRDefault="00220DDA" w:rsidP="00D729B7">
      <w:pPr>
        <w:pStyle w:val="BodyText"/>
        <w:rPr>
          <w:rFonts w:cs="Arial"/>
        </w:rPr>
      </w:pPr>
      <w:r>
        <w:rPr>
          <w:rFonts w:cs="Arial"/>
        </w:rPr>
        <w:t>To our understanding, it is likely that it will be desired to indicate support of different duplex modes (HD-FDD/FD-FDD) for different FDD bands, so we propose to remove the square brackets.</w:t>
      </w:r>
    </w:p>
    <w:p w14:paraId="33B46A4D" w14:textId="17878B2B" w:rsidR="00F22A9F" w:rsidRPr="00CA23C5" w:rsidRDefault="00220DDA" w:rsidP="00D729B7">
      <w:pPr>
        <w:pStyle w:val="Proposal"/>
      </w:pPr>
      <w:bookmarkStart w:id="6" w:name="_Toc87060253"/>
      <w:r>
        <w:t>FG 28-3 (‘</w:t>
      </w:r>
      <w:r w:rsidRPr="003001F5">
        <w:rPr>
          <w:rFonts w:cs="Arial"/>
        </w:rPr>
        <w:t>Half-duplex FDD operation for RedCap UE</w:t>
      </w:r>
      <w:r>
        <w:rPr>
          <w:rFonts w:cs="Arial"/>
        </w:rPr>
        <w:t>’</w:t>
      </w:r>
      <w:r>
        <w:t xml:space="preserve">) is </w:t>
      </w:r>
      <w:r w:rsidR="00AF7C50">
        <w:t>per band</w:t>
      </w:r>
      <w:r w:rsidR="00D729B7">
        <w:t>.</w:t>
      </w:r>
      <w:bookmarkEnd w:id="6"/>
    </w:p>
    <w:p w14:paraId="3FF6F8B9" w14:textId="169B1EB6" w:rsidR="00B770B3" w:rsidRPr="00F91904" w:rsidRDefault="004A21A5" w:rsidP="004A21A5">
      <w:pPr>
        <w:pStyle w:val="Heading2"/>
      </w:pPr>
      <w:r>
        <w:t>2.3</w:t>
      </w:r>
      <w:r>
        <w:tab/>
      </w:r>
      <w:r w:rsidR="007D2187">
        <w:t>DL/UL modulation support</w:t>
      </w:r>
    </w:p>
    <w:p w14:paraId="68C83F73" w14:textId="0963111E" w:rsidR="00351383" w:rsidRDefault="00351383" w:rsidP="00D729B7">
      <w:pPr>
        <w:pStyle w:val="BodyText"/>
        <w:rPr>
          <w:rFonts w:cs="Arial"/>
        </w:rPr>
      </w:pPr>
      <w:r>
        <w:rPr>
          <w:rFonts w:cs="Arial"/>
        </w:rPr>
        <w:t xml:space="preserve">RAN1 has made the following agreements related to </w:t>
      </w:r>
      <w:r w:rsidR="007D2187">
        <w:rPr>
          <w:rFonts w:cs="Arial"/>
        </w:rPr>
        <w:t>DL/UL modulation support</w:t>
      </w:r>
      <w:r>
        <w:rPr>
          <w:rFonts w:cs="Arial"/>
        </w:rPr>
        <w:t>:</w:t>
      </w:r>
    </w:p>
    <w:tbl>
      <w:tblPr>
        <w:tblStyle w:val="TableGrid"/>
        <w:tblW w:w="0" w:type="auto"/>
        <w:tblLook w:val="04A0" w:firstRow="1" w:lastRow="0" w:firstColumn="1" w:lastColumn="0" w:noHBand="0" w:noVBand="1"/>
      </w:tblPr>
      <w:tblGrid>
        <w:gridCol w:w="9629"/>
      </w:tblGrid>
      <w:tr w:rsidR="00351383" w:rsidRPr="00351383" w14:paraId="3D60077B" w14:textId="77777777" w:rsidTr="00351383">
        <w:tc>
          <w:tcPr>
            <w:tcW w:w="9629" w:type="dxa"/>
          </w:tcPr>
          <w:p w14:paraId="2C645DC9" w14:textId="7C7DB651" w:rsidR="00351383" w:rsidRPr="00351383" w:rsidRDefault="00351383" w:rsidP="00CA23C5">
            <w:pPr>
              <w:spacing w:after="0" w:line="240" w:lineRule="auto"/>
              <w:jc w:val="both"/>
              <w:rPr>
                <w:rFonts w:ascii="Times New Roman" w:eastAsia="Batang" w:hAnsi="Times New Roman" w:cs="Times New Roman"/>
                <w:sz w:val="20"/>
                <w:szCs w:val="20"/>
                <w:highlight w:val="green"/>
                <w:lang w:val="en-GB"/>
              </w:rPr>
            </w:pPr>
            <w:r w:rsidRPr="00351383">
              <w:rPr>
                <w:rFonts w:ascii="Times New Roman" w:eastAsia="Batang" w:hAnsi="Times New Roman" w:cs="Times New Roman"/>
                <w:sz w:val="20"/>
                <w:szCs w:val="20"/>
                <w:highlight w:val="green"/>
                <w:lang w:val="en-GB"/>
              </w:rPr>
              <w:t>Agreements:</w:t>
            </w:r>
          </w:p>
          <w:p w14:paraId="216EA397" w14:textId="77777777" w:rsidR="00351383" w:rsidRPr="00351383" w:rsidRDefault="00351383" w:rsidP="00CA23C5">
            <w:pPr>
              <w:numPr>
                <w:ilvl w:val="0"/>
                <w:numId w:val="13"/>
              </w:numPr>
              <w:spacing w:after="0" w:line="252" w:lineRule="auto"/>
              <w:contextualSpacing/>
              <w:jc w:val="both"/>
              <w:rPr>
                <w:rFonts w:ascii="Times New Roman" w:eastAsia="Batang" w:hAnsi="Times New Roman" w:cs="Times New Roman"/>
                <w:sz w:val="20"/>
                <w:szCs w:val="20"/>
                <w:lang w:val="en-GB" w:eastAsia="x-none"/>
              </w:rPr>
            </w:pPr>
            <w:r w:rsidRPr="00351383">
              <w:rPr>
                <w:rFonts w:ascii="Times New Roman" w:eastAsia="Batang" w:hAnsi="Times New Roman" w:cs="Times New Roman"/>
                <w:sz w:val="20"/>
                <w:szCs w:val="20"/>
                <w:lang w:val="en-GB" w:eastAsia="x-none"/>
              </w:rPr>
              <w:t>For a RedCap UE, 64QAM MCS tables (Table 5.1.3.1-1 in TS 38.214 for DL and UL OFDM and Table 6.1.4.1-1 in TS 38.214 for UL w/ transform precoding respectively) are the “default” ones and are mandatory.</w:t>
            </w:r>
          </w:p>
          <w:p w14:paraId="2C869AD8" w14:textId="77777777" w:rsidR="00351383" w:rsidRPr="00351383" w:rsidRDefault="00351383" w:rsidP="00CA23C5">
            <w:pPr>
              <w:numPr>
                <w:ilvl w:val="0"/>
                <w:numId w:val="13"/>
              </w:numPr>
              <w:spacing w:after="0" w:line="252" w:lineRule="auto"/>
              <w:contextualSpacing/>
              <w:jc w:val="both"/>
              <w:rPr>
                <w:rFonts w:ascii="Times New Roman" w:eastAsia="Batang" w:hAnsi="Times New Roman" w:cs="Times New Roman"/>
                <w:sz w:val="20"/>
                <w:szCs w:val="20"/>
                <w:lang w:val="en-GB" w:eastAsia="x-none"/>
              </w:rPr>
            </w:pPr>
            <w:r w:rsidRPr="00351383">
              <w:rPr>
                <w:rFonts w:ascii="Times New Roman" w:eastAsia="Batang" w:hAnsi="Times New Roman" w:cs="Times New Roman"/>
                <w:sz w:val="20"/>
                <w:szCs w:val="20"/>
                <w:lang w:val="en-GB" w:eastAsia="x-none"/>
              </w:rPr>
              <w:t>The following is optionally supported by RedCap UEs:</w:t>
            </w:r>
          </w:p>
          <w:p w14:paraId="42EF12C8" w14:textId="77777777" w:rsidR="00351383" w:rsidRPr="00351383" w:rsidRDefault="00351383" w:rsidP="00CA23C5">
            <w:pPr>
              <w:numPr>
                <w:ilvl w:val="1"/>
                <w:numId w:val="13"/>
              </w:numPr>
              <w:spacing w:after="0" w:line="252" w:lineRule="auto"/>
              <w:contextualSpacing/>
              <w:jc w:val="both"/>
              <w:rPr>
                <w:rFonts w:ascii="Times New Roman" w:eastAsia="Batang" w:hAnsi="Times New Roman" w:cs="Times New Roman"/>
                <w:sz w:val="20"/>
                <w:szCs w:val="20"/>
                <w:lang w:val="en-GB" w:eastAsia="x-none"/>
              </w:rPr>
            </w:pPr>
            <w:r w:rsidRPr="00351383">
              <w:rPr>
                <w:rFonts w:ascii="Times New Roman" w:eastAsia="Batang" w:hAnsi="Times New Roman" w:cs="Times New Roman"/>
                <w:sz w:val="20"/>
                <w:szCs w:val="20"/>
                <w:lang w:val="en-GB" w:eastAsia="x-none"/>
              </w:rPr>
              <w:t xml:space="preserve">256QAM MCS tables (Table 5.1.3.1-2 in TS 38.214 for DL and UL OFDM) </w:t>
            </w:r>
          </w:p>
          <w:p w14:paraId="68B052FA" w14:textId="77777777" w:rsidR="00351383" w:rsidRPr="00351383" w:rsidRDefault="00351383" w:rsidP="00CA23C5">
            <w:pPr>
              <w:numPr>
                <w:ilvl w:val="1"/>
                <w:numId w:val="13"/>
              </w:numPr>
              <w:spacing w:after="0" w:line="252" w:lineRule="auto"/>
              <w:contextualSpacing/>
              <w:jc w:val="both"/>
              <w:rPr>
                <w:rFonts w:ascii="Times New Roman" w:eastAsia="Batang" w:hAnsi="Times New Roman" w:cs="Times New Roman"/>
                <w:sz w:val="20"/>
                <w:szCs w:val="20"/>
                <w:lang w:val="en-GB" w:eastAsia="x-none"/>
              </w:rPr>
            </w:pPr>
            <w:r w:rsidRPr="00351383">
              <w:rPr>
                <w:rFonts w:ascii="Times New Roman" w:eastAsia="Batang" w:hAnsi="Times New Roman" w:cs="Times New Roman"/>
                <w:sz w:val="20"/>
                <w:szCs w:val="20"/>
                <w:lang w:val="en-GB" w:eastAsia="x-none"/>
              </w:rPr>
              <w:t>64QAM low SE MCS tables (Table 5.1.3.1-3 in TS 38.214 for DL and UL OFDM and Table 6.1.4.1-2 in TS 38.214 for UL w/ transform precoding respectively)</w:t>
            </w:r>
          </w:p>
          <w:p w14:paraId="4F6C363B" w14:textId="77777777" w:rsidR="00351383" w:rsidRPr="00351383" w:rsidRDefault="00351383" w:rsidP="00CA23C5">
            <w:pPr>
              <w:spacing w:after="0" w:line="252" w:lineRule="auto"/>
              <w:contextualSpacing/>
              <w:jc w:val="both"/>
              <w:rPr>
                <w:rFonts w:ascii="Times New Roman" w:eastAsia="Batang" w:hAnsi="Times New Roman" w:cs="Times New Roman"/>
                <w:sz w:val="20"/>
                <w:szCs w:val="20"/>
                <w:lang w:val="en-GB" w:eastAsia="x-none"/>
              </w:rPr>
            </w:pPr>
          </w:p>
          <w:p w14:paraId="0569677A" w14:textId="148A8714" w:rsidR="00351383" w:rsidRPr="00351383" w:rsidRDefault="00351383" w:rsidP="00CA23C5">
            <w:pPr>
              <w:spacing w:after="0" w:line="240" w:lineRule="auto"/>
              <w:jc w:val="both"/>
              <w:rPr>
                <w:rFonts w:ascii="Times New Roman" w:eastAsia="Batang" w:hAnsi="Times New Roman" w:cs="Times New Roman"/>
                <w:sz w:val="20"/>
                <w:szCs w:val="20"/>
                <w:highlight w:val="green"/>
                <w:lang w:val="en-GB"/>
              </w:rPr>
            </w:pPr>
            <w:r w:rsidRPr="00351383">
              <w:rPr>
                <w:rFonts w:ascii="Times New Roman" w:eastAsia="Batang" w:hAnsi="Times New Roman" w:cs="Times New Roman"/>
                <w:sz w:val="20"/>
                <w:szCs w:val="20"/>
                <w:highlight w:val="green"/>
                <w:lang w:val="en-GB"/>
              </w:rPr>
              <w:t>Agreements:</w:t>
            </w:r>
          </w:p>
          <w:p w14:paraId="37B37855" w14:textId="77777777" w:rsidR="00351383" w:rsidRPr="00351383" w:rsidRDefault="00351383" w:rsidP="00CA23C5">
            <w:pPr>
              <w:numPr>
                <w:ilvl w:val="0"/>
                <w:numId w:val="13"/>
              </w:numPr>
              <w:spacing w:after="0" w:line="252" w:lineRule="auto"/>
              <w:contextualSpacing/>
              <w:jc w:val="both"/>
              <w:rPr>
                <w:rFonts w:ascii="Times New Roman" w:eastAsia="Batang" w:hAnsi="Times New Roman" w:cs="Times New Roman"/>
                <w:sz w:val="20"/>
                <w:szCs w:val="20"/>
                <w:lang w:val="en-GB" w:eastAsia="x-none"/>
              </w:rPr>
            </w:pPr>
            <w:r w:rsidRPr="00351383">
              <w:rPr>
                <w:rFonts w:ascii="Times New Roman" w:eastAsia="Batang" w:hAnsi="Times New Roman" w:cs="Times New Roman"/>
                <w:sz w:val="20"/>
                <w:szCs w:val="20"/>
                <w:lang w:val="en-GB" w:eastAsia="x-none"/>
              </w:rPr>
              <w:t>For a RedCap UE, “CQI table 1” (Table 5.2.2.1-2 in TS 38.214), that corresponds to MCS Table 5.1.3.1-1 in TS 38.214, is mandatory.</w:t>
            </w:r>
          </w:p>
          <w:p w14:paraId="7B1C1384" w14:textId="77777777" w:rsidR="00351383" w:rsidRPr="00351383" w:rsidRDefault="00351383" w:rsidP="00CA23C5">
            <w:pPr>
              <w:numPr>
                <w:ilvl w:val="0"/>
                <w:numId w:val="13"/>
              </w:numPr>
              <w:spacing w:after="0" w:line="252" w:lineRule="auto"/>
              <w:contextualSpacing/>
              <w:jc w:val="both"/>
              <w:rPr>
                <w:rFonts w:ascii="Times New Roman" w:eastAsia="Batang" w:hAnsi="Times New Roman" w:cs="Times New Roman"/>
                <w:sz w:val="20"/>
                <w:szCs w:val="20"/>
                <w:lang w:val="en-GB" w:eastAsia="x-none"/>
              </w:rPr>
            </w:pPr>
            <w:r w:rsidRPr="00351383">
              <w:rPr>
                <w:rFonts w:ascii="Times New Roman" w:eastAsia="Batang" w:hAnsi="Times New Roman" w:cs="Times New Roman"/>
                <w:sz w:val="20"/>
                <w:szCs w:val="20"/>
                <w:lang w:val="en-GB" w:eastAsia="x-none"/>
              </w:rPr>
              <w:t>The following is optionally supported by a RedCap UE:</w:t>
            </w:r>
          </w:p>
          <w:p w14:paraId="7F25A975" w14:textId="77777777" w:rsidR="00351383" w:rsidRPr="00351383" w:rsidRDefault="00351383" w:rsidP="00CA23C5">
            <w:pPr>
              <w:numPr>
                <w:ilvl w:val="1"/>
                <w:numId w:val="13"/>
              </w:numPr>
              <w:spacing w:after="0" w:line="252" w:lineRule="auto"/>
              <w:contextualSpacing/>
              <w:jc w:val="both"/>
              <w:rPr>
                <w:rFonts w:ascii="Times New Roman" w:eastAsia="Batang" w:hAnsi="Times New Roman" w:cs="Times New Roman"/>
                <w:sz w:val="20"/>
                <w:szCs w:val="20"/>
                <w:lang w:val="en-GB" w:eastAsia="x-none"/>
              </w:rPr>
            </w:pPr>
            <w:r w:rsidRPr="00351383">
              <w:rPr>
                <w:rFonts w:ascii="Times New Roman" w:eastAsia="Batang" w:hAnsi="Times New Roman" w:cs="Times New Roman"/>
                <w:sz w:val="20"/>
                <w:szCs w:val="20"/>
                <w:lang w:val="en-GB" w:eastAsia="x-none"/>
              </w:rPr>
              <w:t xml:space="preserve">“CQI table 2” (Table 5.2.2.1-3 in TS 38.214) that corresponds to MCS Table 5.1.3.1-2 in TS 38.214 (256QAM MCS table) </w:t>
            </w:r>
          </w:p>
          <w:p w14:paraId="62E2ED1B" w14:textId="77777777" w:rsidR="00351383" w:rsidRPr="00351383" w:rsidRDefault="00351383" w:rsidP="00CA23C5">
            <w:pPr>
              <w:numPr>
                <w:ilvl w:val="1"/>
                <w:numId w:val="13"/>
              </w:numPr>
              <w:spacing w:after="0" w:line="252" w:lineRule="auto"/>
              <w:contextualSpacing/>
              <w:jc w:val="both"/>
              <w:rPr>
                <w:rFonts w:ascii="Times New Roman" w:eastAsia="Batang" w:hAnsi="Times New Roman" w:cs="Times New Roman"/>
                <w:sz w:val="20"/>
                <w:szCs w:val="20"/>
                <w:lang w:val="en-GB" w:eastAsia="x-none"/>
              </w:rPr>
            </w:pPr>
            <w:r w:rsidRPr="00351383">
              <w:rPr>
                <w:rFonts w:ascii="Times New Roman" w:eastAsia="Batang" w:hAnsi="Times New Roman" w:cs="Times New Roman"/>
                <w:sz w:val="20"/>
                <w:szCs w:val="20"/>
                <w:lang w:val="en-GB" w:eastAsia="x-none"/>
              </w:rPr>
              <w:t>“CQI table 3” (Table 5.2.2.1-4 in TS 38.214) that corresponds to MCS Table 5.1.3.1-3 in TS 38.214 (64QAM low SE MCS table)</w:t>
            </w:r>
          </w:p>
          <w:p w14:paraId="36AF0B89" w14:textId="77777777" w:rsidR="00351383" w:rsidRPr="00351383" w:rsidRDefault="00351383" w:rsidP="00CA23C5">
            <w:pPr>
              <w:spacing w:after="0" w:line="252" w:lineRule="auto"/>
              <w:contextualSpacing/>
              <w:jc w:val="both"/>
              <w:rPr>
                <w:rFonts w:ascii="Times New Roman" w:eastAsia="Batang" w:hAnsi="Times New Roman" w:cs="Times New Roman"/>
                <w:sz w:val="20"/>
                <w:szCs w:val="20"/>
                <w:lang w:val="en-GB" w:eastAsia="x-none"/>
              </w:rPr>
            </w:pPr>
          </w:p>
          <w:p w14:paraId="745A61BB" w14:textId="4254D9D3" w:rsidR="00351383" w:rsidRPr="00351383" w:rsidRDefault="00351383" w:rsidP="00CA23C5">
            <w:pPr>
              <w:spacing w:after="0" w:line="240" w:lineRule="auto"/>
              <w:jc w:val="both"/>
              <w:rPr>
                <w:rFonts w:ascii="Times New Roman" w:eastAsia="Batang" w:hAnsi="Times New Roman" w:cs="Times New Roman"/>
                <w:sz w:val="20"/>
                <w:szCs w:val="20"/>
                <w:highlight w:val="green"/>
                <w:lang w:val="en-GB"/>
              </w:rPr>
            </w:pPr>
            <w:r w:rsidRPr="00351383">
              <w:rPr>
                <w:rFonts w:ascii="Times New Roman" w:eastAsia="Batang" w:hAnsi="Times New Roman" w:cs="Times New Roman"/>
                <w:sz w:val="20"/>
                <w:szCs w:val="20"/>
                <w:highlight w:val="green"/>
                <w:lang w:val="en-GB"/>
              </w:rPr>
              <w:t>Agreements:</w:t>
            </w:r>
          </w:p>
          <w:p w14:paraId="4A643067" w14:textId="77777777" w:rsidR="00351383" w:rsidRPr="00351383" w:rsidRDefault="00351383" w:rsidP="00CA23C5">
            <w:pPr>
              <w:numPr>
                <w:ilvl w:val="0"/>
                <w:numId w:val="13"/>
              </w:numPr>
              <w:spacing w:after="0" w:line="252" w:lineRule="auto"/>
              <w:contextualSpacing/>
              <w:jc w:val="both"/>
              <w:rPr>
                <w:rFonts w:ascii="Times New Roman" w:eastAsia="Batang" w:hAnsi="Times New Roman" w:cs="Times New Roman"/>
                <w:sz w:val="20"/>
                <w:szCs w:val="20"/>
                <w:lang w:val="en-GB"/>
              </w:rPr>
            </w:pPr>
            <w:r w:rsidRPr="00351383">
              <w:rPr>
                <w:rFonts w:ascii="Times New Roman" w:eastAsia="Batang" w:hAnsi="Times New Roman" w:cs="Times New Roman"/>
                <w:sz w:val="20"/>
                <w:szCs w:val="20"/>
                <w:lang w:val="en-GB"/>
              </w:rPr>
              <w:t>Both 256QAM MCS table for PDSCH and “CQI table 2” (Table 5.2.2.1-3 in TS 38.214) are supported by a RedCap UE indicating support of 256QAM for PDSCH.</w:t>
            </w:r>
          </w:p>
          <w:p w14:paraId="00A1C7CC" w14:textId="77777777" w:rsidR="00351383" w:rsidRPr="00351383" w:rsidRDefault="00351383" w:rsidP="00CA23C5">
            <w:pPr>
              <w:spacing w:after="0" w:line="252" w:lineRule="auto"/>
              <w:contextualSpacing/>
              <w:jc w:val="both"/>
              <w:rPr>
                <w:rFonts w:ascii="Times New Roman" w:eastAsia="Batang" w:hAnsi="Times New Roman" w:cs="Times New Roman"/>
                <w:sz w:val="20"/>
                <w:szCs w:val="20"/>
                <w:lang w:val="en-GB"/>
              </w:rPr>
            </w:pPr>
          </w:p>
          <w:p w14:paraId="597A918F" w14:textId="33387477" w:rsidR="00351383" w:rsidRPr="00351383" w:rsidRDefault="00351383" w:rsidP="00CA23C5">
            <w:pPr>
              <w:spacing w:after="0" w:line="240" w:lineRule="auto"/>
              <w:jc w:val="both"/>
              <w:rPr>
                <w:rFonts w:ascii="Times New Roman" w:eastAsia="Batang" w:hAnsi="Times New Roman" w:cs="Times New Roman"/>
                <w:sz w:val="20"/>
                <w:szCs w:val="20"/>
                <w:highlight w:val="green"/>
                <w:lang w:val="en-GB"/>
              </w:rPr>
            </w:pPr>
            <w:r w:rsidRPr="00351383">
              <w:rPr>
                <w:rFonts w:ascii="Times New Roman" w:eastAsia="Batang" w:hAnsi="Times New Roman" w:cs="Times New Roman"/>
                <w:sz w:val="20"/>
                <w:szCs w:val="20"/>
                <w:highlight w:val="green"/>
                <w:lang w:val="en-GB"/>
              </w:rPr>
              <w:t>Agreements:</w:t>
            </w:r>
          </w:p>
          <w:p w14:paraId="4E2EFA7C" w14:textId="77777777" w:rsidR="00351383" w:rsidRPr="00351383" w:rsidRDefault="00351383" w:rsidP="00CA23C5">
            <w:pPr>
              <w:numPr>
                <w:ilvl w:val="0"/>
                <w:numId w:val="13"/>
              </w:numPr>
              <w:spacing w:after="0" w:line="252" w:lineRule="auto"/>
              <w:contextualSpacing/>
              <w:jc w:val="both"/>
              <w:rPr>
                <w:rFonts w:ascii="Times New Roman" w:eastAsia="Batang" w:hAnsi="Times New Roman" w:cs="Times New Roman"/>
                <w:sz w:val="20"/>
                <w:szCs w:val="20"/>
                <w:lang w:val="en-GB"/>
              </w:rPr>
            </w:pPr>
            <w:r w:rsidRPr="00351383">
              <w:rPr>
                <w:rFonts w:ascii="Times New Roman" w:eastAsia="Batang" w:hAnsi="Times New Roman" w:cs="Times New Roman"/>
                <w:sz w:val="20"/>
                <w:szCs w:val="20"/>
                <w:lang w:val="en-GB"/>
              </w:rPr>
              <w:t>For a RedCap UE, support of 64QAM low SE MCS table for PDSCH and support of “CQI table 3” (Table 5.2.2.1-4 in TS 38.214) are not coupled and capability of each can be reported independent of the other.</w:t>
            </w:r>
          </w:p>
          <w:p w14:paraId="7B4C3CB0" w14:textId="77777777" w:rsidR="00351383" w:rsidRPr="00351383" w:rsidRDefault="00351383" w:rsidP="00CA23C5">
            <w:pPr>
              <w:spacing w:after="0" w:line="252" w:lineRule="auto"/>
              <w:contextualSpacing/>
              <w:jc w:val="both"/>
              <w:rPr>
                <w:rFonts w:ascii="Times New Roman" w:eastAsia="Batang" w:hAnsi="Times New Roman" w:cs="Times New Roman"/>
                <w:sz w:val="20"/>
                <w:szCs w:val="20"/>
                <w:lang w:val="en-GB"/>
              </w:rPr>
            </w:pPr>
          </w:p>
          <w:p w14:paraId="36C11D61" w14:textId="6DD21BAF" w:rsidR="00351383" w:rsidRPr="00351383" w:rsidRDefault="00351383" w:rsidP="00CA23C5">
            <w:pPr>
              <w:spacing w:after="0" w:line="240" w:lineRule="auto"/>
              <w:jc w:val="both"/>
              <w:rPr>
                <w:rFonts w:ascii="Times New Roman" w:eastAsia="Batang" w:hAnsi="Times New Roman" w:cs="Times New Roman"/>
                <w:sz w:val="20"/>
                <w:szCs w:val="20"/>
                <w:highlight w:val="green"/>
                <w:lang w:val="en-GB"/>
              </w:rPr>
            </w:pPr>
            <w:r w:rsidRPr="00351383">
              <w:rPr>
                <w:rFonts w:ascii="Times New Roman" w:eastAsia="Batang" w:hAnsi="Times New Roman" w:cs="Times New Roman"/>
                <w:sz w:val="20"/>
                <w:szCs w:val="20"/>
                <w:highlight w:val="green"/>
                <w:lang w:val="en-GB"/>
              </w:rPr>
              <w:t>Agreements:</w:t>
            </w:r>
          </w:p>
          <w:p w14:paraId="4B1DCC44" w14:textId="77777777" w:rsidR="00351383" w:rsidRPr="00351383" w:rsidRDefault="00351383" w:rsidP="00CA23C5">
            <w:pPr>
              <w:numPr>
                <w:ilvl w:val="0"/>
                <w:numId w:val="13"/>
              </w:numPr>
              <w:spacing w:after="0" w:line="252" w:lineRule="auto"/>
              <w:contextualSpacing/>
              <w:jc w:val="both"/>
              <w:rPr>
                <w:rFonts w:ascii="Times New Roman" w:eastAsia="Batang" w:hAnsi="Times New Roman" w:cs="Times New Roman"/>
                <w:sz w:val="20"/>
                <w:szCs w:val="20"/>
                <w:lang w:val="en-GB"/>
              </w:rPr>
            </w:pPr>
            <w:r w:rsidRPr="00351383">
              <w:rPr>
                <w:rFonts w:ascii="Times New Roman" w:eastAsia="Batang" w:hAnsi="Times New Roman" w:cs="Times New Roman"/>
                <w:sz w:val="20"/>
                <w:szCs w:val="20"/>
                <w:lang w:val="en-GB"/>
              </w:rPr>
              <w:t>For a RedCap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6A46E8DB" w14:textId="2089375E" w:rsidR="00351383" w:rsidRPr="00351383" w:rsidRDefault="00351383" w:rsidP="00351383">
            <w:pPr>
              <w:spacing w:after="0" w:line="252" w:lineRule="auto"/>
              <w:contextualSpacing/>
              <w:rPr>
                <w:rFonts w:ascii="Times New Roman" w:eastAsia="Batang" w:hAnsi="Times New Roman" w:cs="Times New Roman"/>
                <w:sz w:val="20"/>
                <w:szCs w:val="20"/>
                <w:lang w:val="en-GB"/>
              </w:rPr>
            </w:pPr>
          </w:p>
        </w:tc>
      </w:tr>
    </w:tbl>
    <w:p w14:paraId="0DA100E3" w14:textId="77777777" w:rsidR="00351383" w:rsidRDefault="00351383" w:rsidP="00D729B7">
      <w:pPr>
        <w:pStyle w:val="BodyText"/>
        <w:rPr>
          <w:rFonts w:cs="Arial"/>
        </w:rPr>
      </w:pPr>
    </w:p>
    <w:p w14:paraId="7A9CCBA4" w14:textId="589F5E03" w:rsidR="00351383" w:rsidRDefault="007D2187" w:rsidP="00D729B7">
      <w:pPr>
        <w:pStyle w:val="BodyText"/>
        <w:rPr>
          <w:rFonts w:cs="Arial"/>
        </w:rPr>
      </w:pPr>
      <w:r>
        <w:rPr>
          <w:rFonts w:cs="Arial"/>
        </w:rPr>
        <w:lastRenderedPageBreak/>
        <w:t xml:space="preserve">The FGs related to DL/UL modulation support (FG 28-4 for DL and FG 28-5 for UL) that were present in the version discussed in </w:t>
      </w:r>
      <w:r>
        <w:rPr>
          <w:rFonts w:cs="Arial"/>
        </w:rPr>
        <w:fldChar w:fldCharType="begin"/>
      </w:r>
      <w:r>
        <w:rPr>
          <w:rFonts w:cs="Arial"/>
        </w:rPr>
        <w:instrText xml:space="preserve"> REF _Ref86947365 \r \h </w:instrText>
      </w:r>
      <w:r>
        <w:rPr>
          <w:rFonts w:cs="Arial"/>
        </w:rPr>
      </w:r>
      <w:r>
        <w:rPr>
          <w:rFonts w:cs="Arial"/>
        </w:rPr>
        <w:fldChar w:fldCharType="separate"/>
      </w:r>
      <w:r w:rsidR="004667B6">
        <w:rPr>
          <w:rFonts w:cs="Arial"/>
        </w:rPr>
        <w:t>[8]</w:t>
      </w:r>
      <w:r>
        <w:rPr>
          <w:rFonts w:cs="Arial"/>
        </w:rPr>
        <w:fldChar w:fldCharType="end"/>
      </w:r>
      <w:r>
        <w:rPr>
          <w:rFonts w:cs="Arial"/>
        </w:rPr>
        <w:t xml:space="preserve"> were intended to capture the above agreements. </w:t>
      </w:r>
      <w:r w:rsidR="00126401">
        <w:rPr>
          <w:rFonts w:cs="Arial"/>
        </w:rPr>
        <w:t xml:space="preserve">Many companies expressed that a preference to remove both FG 28-4 (which was removed) and FG 28-5 (which is still there). </w:t>
      </w:r>
      <w:r>
        <w:rPr>
          <w:rFonts w:cs="Arial"/>
        </w:rPr>
        <w:t>If these FGs are not present, how to capture the above agreements</w:t>
      </w:r>
      <w:r w:rsidR="00966503">
        <w:rPr>
          <w:rFonts w:cs="Arial"/>
        </w:rPr>
        <w:t xml:space="preserve"> may require some further discussion.</w:t>
      </w:r>
    </w:p>
    <w:p w14:paraId="5AA2FA26" w14:textId="4277B17A" w:rsidR="00DC3DE8" w:rsidRDefault="007D2187" w:rsidP="00A16C0F">
      <w:pPr>
        <w:pStyle w:val="Proposal"/>
      </w:pPr>
      <w:bookmarkStart w:id="7" w:name="_Toc87060254"/>
      <w:r>
        <w:t>Discuss how to capture RedCap RAN1 agreements related to DL/UL modulation support.</w:t>
      </w:r>
      <w:bookmarkEnd w:id="7"/>
    </w:p>
    <w:p w14:paraId="4A7C2E64" w14:textId="3D64952B" w:rsidR="00DC3DE8" w:rsidRDefault="00DC3DE8" w:rsidP="00DC3DE8">
      <w:pPr>
        <w:pStyle w:val="Heading1"/>
        <w:rPr>
          <w:rFonts w:eastAsia="SimSun"/>
        </w:rPr>
      </w:pPr>
      <w:r>
        <w:rPr>
          <w:rFonts w:eastAsia="SimSun"/>
        </w:rPr>
        <w:t>3</w:t>
      </w:r>
      <w:r>
        <w:rPr>
          <w:rFonts w:eastAsia="SimSun"/>
        </w:rPr>
        <w:tab/>
      </w:r>
      <w:r w:rsidR="00C64B81">
        <w:rPr>
          <w:rFonts w:eastAsia="SimSun"/>
        </w:rPr>
        <w:t>Legacy</w:t>
      </w:r>
      <w:r w:rsidR="00D21206">
        <w:rPr>
          <w:rFonts w:eastAsia="SimSun"/>
        </w:rPr>
        <w:t xml:space="preserve"> </w:t>
      </w:r>
      <w:r w:rsidR="00D4271D">
        <w:rPr>
          <w:rFonts w:eastAsia="SimSun"/>
        </w:rPr>
        <w:t>features</w:t>
      </w:r>
    </w:p>
    <w:p w14:paraId="6A7BE1EE" w14:textId="7159DF84" w:rsidR="00970ECA" w:rsidRDefault="00970ECA" w:rsidP="00970ECA">
      <w:pPr>
        <w:pStyle w:val="BodyText"/>
        <w:rPr>
          <w:rFonts w:cs="Arial"/>
        </w:rPr>
      </w:pPr>
      <w:r>
        <w:rPr>
          <w:rFonts w:cs="Arial"/>
        </w:rPr>
        <w:t xml:space="preserve">RAN2 has sent an LS to RAN1 </w:t>
      </w:r>
      <w:r>
        <w:rPr>
          <w:rFonts w:cs="Arial"/>
        </w:rPr>
        <w:fldChar w:fldCharType="begin"/>
      </w:r>
      <w:r>
        <w:rPr>
          <w:rFonts w:cs="Arial"/>
        </w:rPr>
        <w:instrText xml:space="preserve"> REF _Ref86873143 \r \h </w:instrText>
      </w:r>
      <w:r>
        <w:rPr>
          <w:rFonts w:cs="Arial"/>
        </w:rPr>
      </w:r>
      <w:r>
        <w:rPr>
          <w:rFonts w:cs="Arial"/>
        </w:rPr>
        <w:fldChar w:fldCharType="separate"/>
      </w:r>
      <w:r w:rsidR="004667B6">
        <w:rPr>
          <w:rFonts w:cs="Arial"/>
        </w:rPr>
        <w:t>[10]</w:t>
      </w:r>
      <w:r>
        <w:rPr>
          <w:rFonts w:cs="Arial"/>
        </w:rPr>
        <w:fldChar w:fldCharType="end"/>
      </w:r>
      <w:r>
        <w:rPr>
          <w:rFonts w:cs="Arial"/>
        </w:rPr>
        <w:t xml:space="preserve"> to ask RAN1</w:t>
      </w:r>
      <w:r w:rsidRPr="00F44FD8">
        <w:rPr>
          <w:rFonts w:cs="Arial"/>
        </w:rPr>
        <w:t xml:space="preserve"> whether there are any Rel-15</w:t>
      </w:r>
      <w:r>
        <w:rPr>
          <w:rFonts w:cs="Arial"/>
        </w:rPr>
        <w:t xml:space="preserve">/16 </w:t>
      </w:r>
      <w:r w:rsidRPr="00F44FD8">
        <w:rPr>
          <w:rFonts w:cs="Arial"/>
        </w:rPr>
        <w:t>UE features or capabilities which should not be applicable for RedCap UEs</w:t>
      </w:r>
      <w:r>
        <w:rPr>
          <w:rFonts w:cs="Arial"/>
        </w:rPr>
        <w:t xml:space="preserve">. RAN1 has had initial discussions on this topic in the previous meeting, captured in </w:t>
      </w:r>
      <w:r>
        <w:rPr>
          <w:rFonts w:cs="Arial"/>
        </w:rPr>
        <w:fldChar w:fldCharType="begin"/>
      </w:r>
      <w:r>
        <w:rPr>
          <w:rFonts w:cs="Arial"/>
        </w:rPr>
        <w:instrText xml:space="preserve"> REF _Ref86947682 \r \h </w:instrText>
      </w:r>
      <w:r>
        <w:rPr>
          <w:rFonts w:cs="Arial"/>
        </w:rPr>
      </w:r>
      <w:r>
        <w:rPr>
          <w:rFonts w:cs="Arial"/>
        </w:rPr>
        <w:fldChar w:fldCharType="separate"/>
      </w:r>
      <w:r w:rsidR="004667B6">
        <w:rPr>
          <w:rFonts w:cs="Arial"/>
        </w:rPr>
        <w:t>[11]</w:t>
      </w:r>
      <w:r>
        <w:rPr>
          <w:rFonts w:cs="Arial"/>
        </w:rPr>
        <w:fldChar w:fldCharType="end"/>
      </w:r>
      <w:r>
        <w:rPr>
          <w:rFonts w:cs="Arial"/>
        </w:rPr>
        <w:t>.</w:t>
      </w:r>
    </w:p>
    <w:p w14:paraId="7994DAB3" w14:textId="5BE85680" w:rsidR="00DC3DE8" w:rsidRDefault="00DC3DE8" w:rsidP="00DC3DE8">
      <w:pPr>
        <w:jc w:val="both"/>
        <w:rPr>
          <w:lang w:eastAsia="ja-JP"/>
        </w:rPr>
      </w:pPr>
      <w:r>
        <w:rPr>
          <w:lang w:eastAsia="ja-JP"/>
        </w:rPr>
        <w:t xml:space="preserve">To this end, in </w:t>
      </w:r>
      <w:r>
        <w:rPr>
          <w:lang w:eastAsia="ja-JP"/>
        </w:rPr>
        <w:fldChar w:fldCharType="begin"/>
      </w:r>
      <w:r>
        <w:rPr>
          <w:lang w:eastAsia="ja-JP"/>
        </w:rPr>
        <w:instrText xml:space="preserve"> REF _Ref71110685 \h  \* MERGEFORMAT </w:instrText>
      </w:r>
      <w:r>
        <w:rPr>
          <w:lang w:eastAsia="ja-JP"/>
        </w:rPr>
      </w:r>
      <w:r>
        <w:rPr>
          <w:lang w:eastAsia="ja-JP"/>
        </w:rPr>
        <w:fldChar w:fldCharType="separate"/>
      </w:r>
      <w:r w:rsidR="004667B6">
        <w:t xml:space="preserve">Table </w:t>
      </w:r>
      <w:r w:rsidR="004667B6">
        <w:rPr>
          <w:noProof/>
        </w:rPr>
        <w:t>1</w:t>
      </w:r>
      <w:r>
        <w:rPr>
          <w:lang w:eastAsia="ja-JP"/>
        </w:rPr>
        <w:fldChar w:fldCharType="end"/>
      </w:r>
      <w:r>
        <w:rPr>
          <w:lang w:eastAsia="ja-JP"/>
        </w:rPr>
        <w:t xml:space="preserve">, we have summarized capabilities/features that are not applicable for RedCap UEs but are applicable for non-RedCap UEs, and vice-versa. </w:t>
      </w:r>
    </w:p>
    <w:p w14:paraId="5E97036E" w14:textId="0A8C5056" w:rsidR="00DC3DE8" w:rsidRDefault="00DC3DE8" w:rsidP="00DC3DE8">
      <w:pPr>
        <w:pStyle w:val="Caption"/>
        <w:jc w:val="center"/>
        <w:rPr>
          <w:rFonts w:cs="Arial"/>
          <w:b w:val="0"/>
          <w:szCs w:val="20"/>
        </w:rPr>
      </w:pPr>
      <w:bookmarkStart w:id="8" w:name="_Ref71110685"/>
      <w:r>
        <w:t xml:space="preserve">Table </w:t>
      </w:r>
      <w:r>
        <w:fldChar w:fldCharType="begin"/>
      </w:r>
      <w:r>
        <w:instrText xml:space="preserve"> SEQ Table \* ARABIC </w:instrText>
      </w:r>
      <w:r>
        <w:fldChar w:fldCharType="separate"/>
      </w:r>
      <w:r w:rsidR="004667B6">
        <w:rPr>
          <w:noProof/>
        </w:rPr>
        <w:t>1</w:t>
      </w:r>
      <w:r>
        <w:fldChar w:fldCharType="end"/>
      </w:r>
      <w:bookmarkEnd w:id="8"/>
      <w:r>
        <w:rPr>
          <w:rFonts w:cs="Arial"/>
          <w:szCs w:val="20"/>
        </w:rPr>
        <w:t>: L1 UE capabilities/features not applicable for RedCap UEs but applicable for non-RedCap UEs, and vice-versa.</w:t>
      </w:r>
    </w:p>
    <w:tbl>
      <w:tblPr>
        <w:tblStyle w:val="TableGrid"/>
        <w:tblW w:w="0" w:type="auto"/>
        <w:jc w:val="center"/>
        <w:tblLook w:val="04A0" w:firstRow="1" w:lastRow="0" w:firstColumn="1" w:lastColumn="0" w:noHBand="0" w:noVBand="1"/>
      </w:tblPr>
      <w:tblGrid>
        <w:gridCol w:w="1462"/>
        <w:gridCol w:w="1463"/>
        <w:gridCol w:w="2925"/>
        <w:gridCol w:w="2925"/>
      </w:tblGrid>
      <w:tr w:rsidR="00DC3DE8" w14:paraId="4DD27036" w14:textId="77777777" w:rsidTr="00DC3DE8">
        <w:trPr>
          <w:trHeight w:val="411"/>
          <w:jc w:val="center"/>
        </w:trPr>
        <w:tc>
          <w:tcPr>
            <w:tcW w:w="292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6B7D48" w14:textId="77777777" w:rsidR="00DC3DE8" w:rsidRDefault="00DC3DE8">
            <w:pPr>
              <w:rPr>
                <w:rFonts w:cs="Arial"/>
                <w:b/>
                <w:bCs/>
                <w:sz w:val="20"/>
                <w:szCs w:val="20"/>
              </w:rPr>
            </w:pPr>
            <w:r>
              <w:rPr>
                <w:rFonts w:cs="Arial"/>
                <w:b/>
                <w:bCs/>
                <w:sz w:val="20"/>
                <w:szCs w:val="20"/>
              </w:rPr>
              <w:t>Capability</w:t>
            </w:r>
          </w:p>
        </w:tc>
        <w:tc>
          <w:tcPr>
            <w:tcW w:w="29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B229B1" w14:textId="77777777" w:rsidR="00DC3DE8" w:rsidRDefault="00DC3DE8">
            <w:pPr>
              <w:rPr>
                <w:rFonts w:cs="Arial"/>
                <w:b/>
                <w:bCs/>
                <w:sz w:val="20"/>
                <w:szCs w:val="20"/>
              </w:rPr>
            </w:pPr>
            <w:r>
              <w:rPr>
                <w:rFonts w:cs="Arial"/>
                <w:b/>
                <w:sz w:val="20"/>
                <w:szCs w:val="20"/>
              </w:rPr>
              <w:t>RedCap UEs</w:t>
            </w:r>
          </w:p>
        </w:tc>
        <w:tc>
          <w:tcPr>
            <w:tcW w:w="29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F652C6" w14:textId="77777777" w:rsidR="00DC3DE8" w:rsidRDefault="00DC3DE8">
            <w:pPr>
              <w:rPr>
                <w:rFonts w:cs="Arial"/>
                <w:b/>
                <w:bCs/>
                <w:sz w:val="20"/>
                <w:szCs w:val="20"/>
              </w:rPr>
            </w:pPr>
            <w:r>
              <w:rPr>
                <w:rFonts w:cs="Arial"/>
                <w:b/>
                <w:sz w:val="20"/>
                <w:szCs w:val="20"/>
              </w:rPr>
              <w:t>Non-RedCap UEs</w:t>
            </w:r>
          </w:p>
        </w:tc>
      </w:tr>
      <w:tr w:rsidR="00DC3DE8" w14:paraId="0D81A4E0" w14:textId="77777777" w:rsidTr="00DC3DE8">
        <w:trPr>
          <w:trHeight w:val="417"/>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14:paraId="1D27B23E" w14:textId="77777777" w:rsidR="00DC3DE8" w:rsidRDefault="00DC3DE8">
            <w:pPr>
              <w:rPr>
                <w:rFonts w:cs="Arial"/>
                <w:sz w:val="20"/>
                <w:szCs w:val="20"/>
              </w:rPr>
            </w:pPr>
            <w:r>
              <w:rPr>
                <w:rFonts w:cs="Arial"/>
                <w:sz w:val="20"/>
                <w:szCs w:val="20"/>
              </w:rPr>
              <w:t>Maximum UE bandwidth</w:t>
            </w:r>
          </w:p>
        </w:tc>
        <w:tc>
          <w:tcPr>
            <w:tcW w:w="1463" w:type="dxa"/>
            <w:tcBorders>
              <w:top w:val="single" w:sz="4" w:space="0" w:color="auto"/>
              <w:left w:val="single" w:sz="4" w:space="0" w:color="auto"/>
              <w:bottom w:val="single" w:sz="4" w:space="0" w:color="auto"/>
              <w:right w:val="single" w:sz="4" w:space="0" w:color="auto"/>
            </w:tcBorders>
            <w:hideMark/>
          </w:tcPr>
          <w:p w14:paraId="16EDBA36" w14:textId="77777777" w:rsidR="00DC3DE8" w:rsidRDefault="00DC3DE8">
            <w:pPr>
              <w:rPr>
                <w:rFonts w:cs="Arial"/>
                <w:sz w:val="20"/>
                <w:szCs w:val="20"/>
              </w:rPr>
            </w:pPr>
            <w:r>
              <w:rPr>
                <w:rFonts w:cs="Arial"/>
                <w:sz w:val="20"/>
                <w:szCs w:val="20"/>
              </w:rPr>
              <w:t>20/100 MHz for FR1/FR2</w:t>
            </w:r>
          </w:p>
        </w:tc>
        <w:tc>
          <w:tcPr>
            <w:tcW w:w="2925" w:type="dxa"/>
            <w:tcBorders>
              <w:top w:val="single" w:sz="4" w:space="0" w:color="auto"/>
              <w:left w:val="single" w:sz="4" w:space="0" w:color="auto"/>
              <w:bottom w:val="single" w:sz="4" w:space="0" w:color="auto"/>
              <w:right w:val="single" w:sz="4" w:space="0" w:color="auto"/>
            </w:tcBorders>
            <w:hideMark/>
          </w:tcPr>
          <w:p w14:paraId="390D5A3F" w14:textId="77777777" w:rsidR="00DC3DE8" w:rsidRDefault="00DC3DE8">
            <w:pPr>
              <w:rPr>
                <w:rFonts w:cs="Arial"/>
                <w:sz w:val="20"/>
                <w:szCs w:val="20"/>
              </w:rPr>
            </w:pPr>
            <w:r>
              <w:rPr>
                <w:rFonts w:cs="Arial"/>
                <w:color w:val="00B050"/>
                <w:sz w:val="20"/>
                <w:szCs w:val="20"/>
              </w:rPr>
              <w:t>Applicable</w:t>
            </w:r>
          </w:p>
        </w:tc>
        <w:tc>
          <w:tcPr>
            <w:tcW w:w="2925" w:type="dxa"/>
            <w:tcBorders>
              <w:top w:val="single" w:sz="4" w:space="0" w:color="auto"/>
              <w:left w:val="single" w:sz="4" w:space="0" w:color="auto"/>
              <w:bottom w:val="single" w:sz="4" w:space="0" w:color="auto"/>
              <w:right w:val="single" w:sz="4" w:space="0" w:color="auto"/>
            </w:tcBorders>
            <w:hideMark/>
          </w:tcPr>
          <w:p w14:paraId="504BF84E" w14:textId="3CD35776" w:rsidR="00DC3DE8" w:rsidRDefault="00DC3DE8">
            <w:pPr>
              <w:rPr>
                <w:rFonts w:cs="Arial"/>
                <w:sz w:val="20"/>
                <w:szCs w:val="20"/>
              </w:rPr>
            </w:pPr>
            <w:r>
              <w:rPr>
                <w:rFonts w:cs="Arial"/>
                <w:color w:val="FF0000"/>
                <w:sz w:val="20"/>
                <w:szCs w:val="20"/>
              </w:rPr>
              <w:t>Not applicable</w:t>
            </w:r>
            <w:r w:rsidR="00970ECA">
              <w:rPr>
                <w:rFonts w:cs="Arial"/>
                <w:color w:val="FF0000"/>
                <w:sz w:val="20"/>
                <w:szCs w:val="20"/>
              </w:rPr>
              <w:t xml:space="preserve"> </w:t>
            </w:r>
            <w:r>
              <w:rPr>
                <w:rFonts w:cs="Arial"/>
                <w:color w:val="FF0000"/>
                <w:sz w:val="20"/>
                <w:szCs w:val="20"/>
                <w:vertAlign w:val="superscript"/>
              </w:rPr>
              <w:t>[NOTE 1]</w:t>
            </w:r>
          </w:p>
        </w:tc>
      </w:tr>
      <w:tr w:rsidR="00DC3DE8" w14:paraId="676F8D4B" w14:textId="77777777" w:rsidTr="00DC3DE8">
        <w:trPr>
          <w:trHeight w:val="4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EE55D" w14:textId="77777777" w:rsidR="00DC3DE8" w:rsidRDefault="00DC3DE8">
            <w:pPr>
              <w:spacing w:after="0" w:line="240" w:lineRule="auto"/>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hideMark/>
          </w:tcPr>
          <w:p w14:paraId="07D1FF46" w14:textId="77777777" w:rsidR="00DC3DE8" w:rsidRDefault="00DC3DE8">
            <w:pPr>
              <w:rPr>
                <w:rFonts w:cs="Arial"/>
                <w:sz w:val="20"/>
                <w:szCs w:val="20"/>
              </w:rPr>
            </w:pPr>
            <w:r>
              <w:rPr>
                <w:rFonts w:cs="Arial"/>
                <w:sz w:val="20"/>
                <w:szCs w:val="20"/>
              </w:rPr>
              <w:t>Wider than 20/100 MHz for FR1/FR2</w:t>
            </w:r>
          </w:p>
        </w:tc>
        <w:tc>
          <w:tcPr>
            <w:tcW w:w="2925" w:type="dxa"/>
            <w:tcBorders>
              <w:top w:val="single" w:sz="4" w:space="0" w:color="auto"/>
              <w:left w:val="single" w:sz="4" w:space="0" w:color="auto"/>
              <w:bottom w:val="single" w:sz="4" w:space="0" w:color="auto"/>
              <w:right w:val="single" w:sz="4" w:space="0" w:color="auto"/>
            </w:tcBorders>
            <w:hideMark/>
          </w:tcPr>
          <w:p w14:paraId="1E3AD5C8" w14:textId="77777777" w:rsidR="00DC3DE8" w:rsidRDefault="00DC3DE8">
            <w:pPr>
              <w:rPr>
                <w:rFonts w:cs="Arial"/>
                <w:sz w:val="20"/>
                <w:szCs w:val="20"/>
              </w:rPr>
            </w:pPr>
            <w:r>
              <w:rPr>
                <w:rFonts w:cs="Arial"/>
                <w:color w:val="FF0000"/>
                <w:sz w:val="20"/>
                <w:szCs w:val="20"/>
              </w:rPr>
              <w:t>Not applicable</w:t>
            </w:r>
          </w:p>
        </w:tc>
        <w:tc>
          <w:tcPr>
            <w:tcW w:w="2925" w:type="dxa"/>
            <w:tcBorders>
              <w:top w:val="single" w:sz="4" w:space="0" w:color="auto"/>
              <w:left w:val="single" w:sz="4" w:space="0" w:color="auto"/>
              <w:bottom w:val="single" w:sz="4" w:space="0" w:color="auto"/>
              <w:right w:val="single" w:sz="4" w:space="0" w:color="auto"/>
            </w:tcBorders>
            <w:hideMark/>
          </w:tcPr>
          <w:p w14:paraId="522819B8" w14:textId="12CF1865" w:rsidR="00DC3DE8" w:rsidRDefault="00DC3DE8">
            <w:pPr>
              <w:rPr>
                <w:rFonts w:cs="Arial"/>
                <w:sz w:val="20"/>
                <w:szCs w:val="20"/>
                <w:vertAlign w:val="superscript"/>
              </w:rPr>
            </w:pPr>
            <w:r>
              <w:rPr>
                <w:rFonts w:cs="Arial"/>
                <w:color w:val="00B050"/>
                <w:sz w:val="20"/>
                <w:szCs w:val="20"/>
              </w:rPr>
              <w:t>Applicable</w:t>
            </w:r>
            <w:r w:rsidR="00970ECA">
              <w:rPr>
                <w:rFonts w:cs="Arial"/>
                <w:color w:val="00B050"/>
                <w:sz w:val="20"/>
                <w:szCs w:val="20"/>
              </w:rPr>
              <w:t xml:space="preserve"> </w:t>
            </w:r>
            <w:r>
              <w:rPr>
                <w:rFonts w:cs="Arial"/>
                <w:color w:val="00B050"/>
                <w:sz w:val="20"/>
                <w:szCs w:val="20"/>
                <w:vertAlign w:val="superscript"/>
              </w:rPr>
              <w:t>[NOTE 1]</w:t>
            </w:r>
          </w:p>
        </w:tc>
      </w:tr>
      <w:tr w:rsidR="00DC3DE8" w14:paraId="6CB00A83" w14:textId="77777777" w:rsidTr="00DC3DE8">
        <w:trPr>
          <w:trHeight w:val="411"/>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14:paraId="3D8C7433" w14:textId="77777777" w:rsidR="00DC3DE8" w:rsidRDefault="00DC3DE8">
            <w:pPr>
              <w:rPr>
                <w:rFonts w:cs="Arial"/>
                <w:sz w:val="20"/>
                <w:szCs w:val="20"/>
              </w:rPr>
            </w:pPr>
            <w:r>
              <w:rPr>
                <w:rFonts w:cs="Arial"/>
                <w:sz w:val="20"/>
                <w:szCs w:val="20"/>
              </w:rPr>
              <w:t>Minimum number of Rx branches</w:t>
            </w:r>
          </w:p>
        </w:tc>
        <w:tc>
          <w:tcPr>
            <w:tcW w:w="1463" w:type="dxa"/>
            <w:tcBorders>
              <w:top w:val="single" w:sz="4" w:space="0" w:color="auto"/>
              <w:left w:val="single" w:sz="4" w:space="0" w:color="auto"/>
              <w:bottom w:val="single" w:sz="4" w:space="0" w:color="auto"/>
              <w:right w:val="single" w:sz="4" w:space="0" w:color="auto"/>
            </w:tcBorders>
            <w:hideMark/>
          </w:tcPr>
          <w:p w14:paraId="5052AF54" w14:textId="77777777" w:rsidR="00DC3DE8" w:rsidRDefault="00DC3DE8">
            <w:pPr>
              <w:rPr>
                <w:rFonts w:cs="Arial"/>
                <w:sz w:val="20"/>
                <w:szCs w:val="20"/>
              </w:rPr>
            </w:pPr>
            <w:r>
              <w:rPr>
                <w:rFonts w:cs="Arial"/>
                <w:sz w:val="20"/>
                <w:szCs w:val="20"/>
              </w:rPr>
              <w:t xml:space="preserve">1 </w:t>
            </w:r>
          </w:p>
        </w:tc>
        <w:tc>
          <w:tcPr>
            <w:tcW w:w="2925" w:type="dxa"/>
            <w:tcBorders>
              <w:top w:val="single" w:sz="4" w:space="0" w:color="auto"/>
              <w:left w:val="single" w:sz="4" w:space="0" w:color="auto"/>
              <w:bottom w:val="single" w:sz="4" w:space="0" w:color="auto"/>
              <w:right w:val="single" w:sz="4" w:space="0" w:color="auto"/>
            </w:tcBorders>
            <w:hideMark/>
          </w:tcPr>
          <w:p w14:paraId="0F1D0B73" w14:textId="77777777" w:rsidR="00DC3DE8" w:rsidRDefault="00DC3DE8">
            <w:pPr>
              <w:rPr>
                <w:rFonts w:cs="Arial"/>
                <w:color w:val="00B050"/>
                <w:sz w:val="20"/>
                <w:szCs w:val="20"/>
              </w:rPr>
            </w:pPr>
            <w:r>
              <w:rPr>
                <w:rFonts w:cs="Arial"/>
                <w:color w:val="00B050"/>
                <w:sz w:val="20"/>
                <w:szCs w:val="20"/>
              </w:rPr>
              <w:t>Applicable</w:t>
            </w:r>
          </w:p>
        </w:tc>
        <w:tc>
          <w:tcPr>
            <w:tcW w:w="2925" w:type="dxa"/>
            <w:tcBorders>
              <w:top w:val="single" w:sz="4" w:space="0" w:color="auto"/>
              <w:left w:val="single" w:sz="4" w:space="0" w:color="auto"/>
              <w:bottom w:val="single" w:sz="4" w:space="0" w:color="auto"/>
              <w:right w:val="single" w:sz="4" w:space="0" w:color="auto"/>
            </w:tcBorders>
            <w:hideMark/>
          </w:tcPr>
          <w:p w14:paraId="684CFDC3" w14:textId="77777777" w:rsidR="00DC3DE8" w:rsidRDefault="00DC3DE8">
            <w:pPr>
              <w:rPr>
                <w:rFonts w:cs="Arial"/>
                <w:sz w:val="20"/>
                <w:szCs w:val="20"/>
              </w:rPr>
            </w:pPr>
            <w:r>
              <w:rPr>
                <w:rFonts w:cs="Arial"/>
                <w:color w:val="FF0000"/>
                <w:sz w:val="20"/>
                <w:szCs w:val="20"/>
              </w:rPr>
              <w:t>Not applicable</w:t>
            </w:r>
          </w:p>
        </w:tc>
      </w:tr>
      <w:tr w:rsidR="00DC3DE8" w14:paraId="60F29AD2" w14:textId="77777777" w:rsidTr="00DC3DE8">
        <w:trPr>
          <w:trHeight w:val="10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03A47" w14:textId="77777777" w:rsidR="00DC3DE8" w:rsidRDefault="00DC3DE8">
            <w:pPr>
              <w:spacing w:after="0" w:line="240" w:lineRule="auto"/>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hideMark/>
          </w:tcPr>
          <w:p w14:paraId="101884D8" w14:textId="77777777" w:rsidR="00DC3DE8" w:rsidRDefault="00DC3DE8">
            <w:pPr>
              <w:rPr>
                <w:rFonts w:cs="Arial"/>
                <w:sz w:val="20"/>
                <w:szCs w:val="20"/>
              </w:rPr>
            </w:pPr>
            <w:r>
              <w:rPr>
                <w:rFonts w:cs="Arial"/>
                <w:sz w:val="20"/>
                <w:szCs w:val="20"/>
              </w:rPr>
              <w:t>2</w:t>
            </w:r>
          </w:p>
        </w:tc>
        <w:tc>
          <w:tcPr>
            <w:tcW w:w="2925" w:type="dxa"/>
            <w:tcBorders>
              <w:top w:val="single" w:sz="4" w:space="0" w:color="auto"/>
              <w:left w:val="single" w:sz="4" w:space="0" w:color="auto"/>
              <w:bottom w:val="single" w:sz="4" w:space="0" w:color="auto"/>
              <w:right w:val="single" w:sz="4" w:space="0" w:color="auto"/>
            </w:tcBorders>
            <w:hideMark/>
          </w:tcPr>
          <w:p w14:paraId="17AD1E26" w14:textId="77777777" w:rsidR="00DC3DE8" w:rsidRDefault="00DC3DE8">
            <w:pPr>
              <w:rPr>
                <w:rFonts w:cs="Arial"/>
                <w:color w:val="00B050"/>
                <w:sz w:val="20"/>
                <w:szCs w:val="20"/>
              </w:rPr>
            </w:pPr>
            <w:r>
              <w:rPr>
                <w:rFonts w:cs="Arial"/>
                <w:color w:val="00B050"/>
                <w:sz w:val="20"/>
                <w:szCs w:val="20"/>
              </w:rPr>
              <w:t>Applicable</w:t>
            </w:r>
          </w:p>
        </w:tc>
        <w:tc>
          <w:tcPr>
            <w:tcW w:w="2925" w:type="dxa"/>
            <w:tcBorders>
              <w:top w:val="single" w:sz="4" w:space="0" w:color="auto"/>
              <w:left w:val="single" w:sz="4" w:space="0" w:color="auto"/>
              <w:bottom w:val="single" w:sz="4" w:space="0" w:color="auto"/>
              <w:right w:val="single" w:sz="4" w:space="0" w:color="auto"/>
            </w:tcBorders>
            <w:hideMark/>
          </w:tcPr>
          <w:p w14:paraId="676A5CD0" w14:textId="77777777" w:rsidR="00DC3DE8" w:rsidRDefault="00DC3DE8">
            <w:pPr>
              <w:rPr>
                <w:rFonts w:cs="Arial"/>
                <w:color w:val="FF0000"/>
                <w:sz w:val="20"/>
                <w:szCs w:val="20"/>
              </w:rPr>
            </w:pPr>
            <w:r>
              <w:rPr>
                <w:rFonts w:cs="Arial"/>
                <w:color w:val="FF0000"/>
                <w:sz w:val="20"/>
                <w:szCs w:val="20"/>
              </w:rPr>
              <w:t xml:space="preserve">Not applicable in bands </w:t>
            </w:r>
            <w:r>
              <w:rPr>
                <w:color w:val="FF0000"/>
                <w:sz w:val="20"/>
                <w:szCs w:val="20"/>
              </w:rPr>
              <w:t>n7, n38, n41, n77, n78 and n79 (except for vehicular UEs).</w:t>
            </w:r>
          </w:p>
          <w:p w14:paraId="76777C90" w14:textId="77777777" w:rsidR="00DC3DE8" w:rsidRDefault="00DC3DE8">
            <w:pPr>
              <w:rPr>
                <w:rFonts w:cs="Arial"/>
                <w:sz w:val="20"/>
                <w:szCs w:val="20"/>
              </w:rPr>
            </w:pPr>
            <w:r>
              <w:rPr>
                <w:rFonts w:cs="Arial"/>
                <w:color w:val="00B050"/>
                <w:sz w:val="20"/>
                <w:szCs w:val="20"/>
              </w:rPr>
              <w:t>Applicable, otherwise.</w:t>
            </w:r>
          </w:p>
        </w:tc>
      </w:tr>
      <w:tr w:rsidR="00DC3DE8" w14:paraId="18C12C4E" w14:textId="77777777" w:rsidTr="00DC3DE8">
        <w:trPr>
          <w:trHeight w:val="1087"/>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14:paraId="562A4387" w14:textId="77777777" w:rsidR="00DC3DE8" w:rsidRDefault="00DC3DE8">
            <w:pPr>
              <w:rPr>
                <w:rFonts w:cs="Arial"/>
                <w:sz w:val="20"/>
                <w:szCs w:val="20"/>
              </w:rPr>
            </w:pPr>
            <w:r>
              <w:rPr>
                <w:rFonts w:cs="Arial"/>
                <w:sz w:val="20"/>
                <w:szCs w:val="20"/>
              </w:rPr>
              <w:t>Maximum number of DL MIMO layers</w:t>
            </w:r>
          </w:p>
        </w:tc>
        <w:tc>
          <w:tcPr>
            <w:tcW w:w="1463" w:type="dxa"/>
            <w:tcBorders>
              <w:top w:val="single" w:sz="4" w:space="0" w:color="auto"/>
              <w:left w:val="single" w:sz="4" w:space="0" w:color="auto"/>
              <w:bottom w:val="single" w:sz="4" w:space="0" w:color="auto"/>
              <w:right w:val="single" w:sz="4" w:space="0" w:color="auto"/>
            </w:tcBorders>
            <w:hideMark/>
          </w:tcPr>
          <w:p w14:paraId="2E6D78B2" w14:textId="77777777" w:rsidR="00DC3DE8" w:rsidRDefault="00DC3DE8">
            <w:pPr>
              <w:rPr>
                <w:rFonts w:cs="Arial"/>
                <w:sz w:val="20"/>
                <w:szCs w:val="20"/>
              </w:rPr>
            </w:pPr>
            <w:r>
              <w:rPr>
                <w:rFonts w:cs="Arial"/>
                <w:sz w:val="20"/>
                <w:szCs w:val="20"/>
              </w:rPr>
              <w:t>1</w:t>
            </w:r>
          </w:p>
        </w:tc>
        <w:tc>
          <w:tcPr>
            <w:tcW w:w="2925" w:type="dxa"/>
            <w:tcBorders>
              <w:top w:val="single" w:sz="4" w:space="0" w:color="auto"/>
              <w:left w:val="single" w:sz="4" w:space="0" w:color="auto"/>
              <w:bottom w:val="single" w:sz="4" w:space="0" w:color="auto"/>
              <w:right w:val="single" w:sz="4" w:space="0" w:color="auto"/>
            </w:tcBorders>
            <w:hideMark/>
          </w:tcPr>
          <w:p w14:paraId="38BC18A9" w14:textId="77777777" w:rsidR="00DC3DE8" w:rsidRDefault="00DC3DE8">
            <w:pPr>
              <w:rPr>
                <w:rFonts w:cs="Arial"/>
                <w:color w:val="00B050"/>
                <w:sz w:val="20"/>
                <w:szCs w:val="20"/>
              </w:rPr>
            </w:pPr>
            <w:r>
              <w:rPr>
                <w:rFonts w:cs="Arial"/>
                <w:color w:val="00B050"/>
                <w:sz w:val="20"/>
                <w:szCs w:val="20"/>
              </w:rPr>
              <w:t xml:space="preserve">Applicable, for a RedCap UE with 1 Rx branch. </w:t>
            </w:r>
          </w:p>
          <w:p w14:paraId="230AD6A0" w14:textId="77777777" w:rsidR="00DC3DE8" w:rsidRDefault="00DC3DE8">
            <w:pPr>
              <w:rPr>
                <w:rFonts w:cs="Arial"/>
                <w:sz w:val="20"/>
                <w:szCs w:val="20"/>
              </w:rPr>
            </w:pPr>
            <w:r>
              <w:rPr>
                <w:rFonts w:cs="Arial"/>
                <w:color w:val="FF0000"/>
                <w:sz w:val="20"/>
                <w:szCs w:val="20"/>
              </w:rPr>
              <w:t>Not applicable, otherwise.</w:t>
            </w:r>
          </w:p>
        </w:tc>
        <w:tc>
          <w:tcPr>
            <w:tcW w:w="2925" w:type="dxa"/>
            <w:tcBorders>
              <w:top w:val="single" w:sz="4" w:space="0" w:color="auto"/>
              <w:left w:val="single" w:sz="4" w:space="0" w:color="auto"/>
              <w:bottom w:val="single" w:sz="4" w:space="0" w:color="auto"/>
              <w:right w:val="single" w:sz="4" w:space="0" w:color="auto"/>
            </w:tcBorders>
            <w:hideMark/>
          </w:tcPr>
          <w:p w14:paraId="71D879AF" w14:textId="2DE79BF5" w:rsidR="00DC3DE8" w:rsidRDefault="00DC3DE8">
            <w:pPr>
              <w:rPr>
                <w:rFonts w:cs="Arial"/>
                <w:color w:val="FF0000"/>
                <w:sz w:val="20"/>
                <w:szCs w:val="20"/>
              </w:rPr>
            </w:pPr>
            <w:r>
              <w:rPr>
                <w:rFonts w:cs="Arial"/>
                <w:color w:val="FF0000"/>
                <w:sz w:val="20"/>
                <w:szCs w:val="20"/>
              </w:rPr>
              <w:t>Not applicable</w:t>
            </w:r>
            <w:r w:rsidR="00970ECA">
              <w:rPr>
                <w:rFonts w:cs="Arial"/>
                <w:color w:val="FF0000"/>
                <w:sz w:val="20"/>
                <w:szCs w:val="20"/>
              </w:rPr>
              <w:t xml:space="preserve"> </w:t>
            </w:r>
            <w:r>
              <w:rPr>
                <w:rFonts w:cs="Arial"/>
                <w:color w:val="FF0000"/>
                <w:sz w:val="20"/>
                <w:szCs w:val="20"/>
                <w:vertAlign w:val="superscript"/>
              </w:rPr>
              <w:t>[NOTE 2]</w:t>
            </w:r>
          </w:p>
        </w:tc>
      </w:tr>
      <w:tr w:rsidR="00DC3DE8" w14:paraId="0F7B744A" w14:textId="77777777" w:rsidTr="00DC3DE8">
        <w:trPr>
          <w:trHeight w:val="10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D7E62" w14:textId="77777777" w:rsidR="00DC3DE8" w:rsidRDefault="00DC3DE8">
            <w:pPr>
              <w:spacing w:after="0" w:line="240" w:lineRule="auto"/>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hideMark/>
          </w:tcPr>
          <w:p w14:paraId="77764B77" w14:textId="77777777" w:rsidR="00DC3DE8" w:rsidRDefault="00DC3DE8">
            <w:pPr>
              <w:rPr>
                <w:rFonts w:cs="Arial"/>
                <w:color w:val="FF0000"/>
                <w:sz w:val="20"/>
                <w:szCs w:val="20"/>
              </w:rPr>
            </w:pPr>
            <w:r>
              <w:rPr>
                <w:rFonts w:cs="Arial"/>
                <w:sz w:val="20"/>
                <w:szCs w:val="20"/>
              </w:rPr>
              <w:t>2</w:t>
            </w:r>
          </w:p>
        </w:tc>
        <w:tc>
          <w:tcPr>
            <w:tcW w:w="2925" w:type="dxa"/>
            <w:tcBorders>
              <w:top w:val="single" w:sz="4" w:space="0" w:color="auto"/>
              <w:left w:val="single" w:sz="4" w:space="0" w:color="auto"/>
              <w:bottom w:val="single" w:sz="4" w:space="0" w:color="auto"/>
              <w:right w:val="single" w:sz="4" w:space="0" w:color="auto"/>
            </w:tcBorders>
            <w:hideMark/>
          </w:tcPr>
          <w:p w14:paraId="103A1A95" w14:textId="77777777" w:rsidR="00DC3DE8" w:rsidRDefault="00DC3DE8">
            <w:pPr>
              <w:rPr>
                <w:rFonts w:cs="Arial"/>
                <w:color w:val="FF0000"/>
                <w:sz w:val="20"/>
                <w:szCs w:val="20"/>
              </w:rPr>
            </w:pPr>
            <w:r>
              <w:rPr>
                <w:rFonts w:cs="Arial"/>
                <w:color w:val="00B050"/>
                <w:sz w:val="20"/>
                <w:szCs w:val="20"/>
              </w:rPr>
              <w:t>Applicable, for a RedCap UE with 2 Rx branches.</w:t>
            </w:r>
          </w:p>
        </w:tc>
        <w:tc>
          <w:tcPr>
            <w:tcW w:w="2925" w:type="dxa"/>
            <w:tcBorders>
              <w:top w:val="single" w:sz="4" w:space="0" w:color="auto"/>
              <w:left w:val="single" w:sz="4" w:space="0" w:color="auto"/>
              <w:bottom w:val="single" w:sz="4" w:space="0" w:color="auto"/>
              <w:right w:val="single" w:sz="4" w:space="0" w:color="auto"/>
            </w:tcBorders>
            <w:hideMark/>
          </w:tcPr>
          <w:p w14:paraId="201A6D78" w14:textId="77777777" w:rsidR="00DC3DE8" w:rsidRDefault="00DC3DE8">
            <w:pPr>
              <w:rPr>
                <w:rFonts w:cs="Arial"/>
                <w:color w:val="00B050"/>
                <w:sz w:val="20"/>
                <w:szCs w:val="20"/>
              </w:rPr>
            </w:pPr>
            <w:r>
              <w:rPr>
                <w:rFonts w:cs="Arial"/>
                <w:color w:val="00B050"/>
                <w:sz w:val="20"/>
                <w:szCs w:val="20"/>
              </w:rPr>
              <w:t xml:space="preserve">Applicable, for a non-RedCap UE with 2 Rx branches. </w:t>
            </w:r>
          </w:p>
          <w:p w14:paraId="30E655EF" w14:textId="2956C180" w:rsidR="00DC3DE8" w:rsidRDefault="00DC3DE8">
            <w:pPr>
              <w:rPr>
                <w:rFonts w:cs="Arial"/>
                <w:sz w:val="20"/>
                <w:szCs w:val="20"/>
              </w:rPr>
            </w:pPr>
            <w:r>
              <w:rPr>
                <w:rFonts w:cs="Arial"/>
                <w:color w:val="FF0000"/>
                <w:sz w:val="20"/>
                <w:szCs w:val="20"/>
              </w:rPr>
              <w:t>Not applicable</w:t>
            </w:r>
            <w:r w:rsidR="00970ECA">
              <w:rPr>
                <w:rFonts w:cs="Arial"/>
                <w:color w:val="FF0000"/>
                <w:sz w:val="20"/>
                <w:szCs w:val="20"/>
              </w:rPr>
              <w:t xml:space="preserve"> </w:t>
            </w:r>
            <w:r>
              <w:rPr>
                <w:rFonts w:cs="Arial"/>
                <w:color w:val="FF0000"/>
                <w:sz w:val="20"/>
                <w:szCs w:val="20"/>
                <w:vertAlign w:val="superscript"/>
              </w:rPr>
              <w:t>[NOTE 2]</w:t>
            </w:r>
            <w:r>
              <w:rPr>
                <w:rFonts w:cs="Arial"/>
                <w:color w:val="FF0000"/>
                <w:sz w:val="20"/>
                <w:szCs w:val="20"/>
              </w:rPr>
              <w:t>, otherwise.</w:t>
            </w:r>
          </w:p>
        </w:tc>
      </w:tr>
      <w:tr w:rsidR="00DC3DE8" w14:paraId="1F9C3F5D" w14:textId="77777777" w:rsidTr="00DC3DE8">
        <w:trPr>
          <w:trHeight w:val="411"/>
          <w:jc w:val="center"/>
        </w:trPr>
        <w:tc>
          <w:tcPr>
            <w:tcW w:w="2925" w:type="dxa"/>
            <w:gridSpan w:val="2"/>
            <w:tcBorders>
              <w:top w:val="single" w:sz="4" w:space="0" w:color="auto"/>
              <w:left w:val="single" w:sz="4" w:space="0" w:color="auto"/>
              <w:bottom w:val="single" w:sz="4" w:space="0" w:color="auto"/>
              <w:right w:val="single" w:sz="4" w:space="0" w:color="auto"/>
            </w:tcBorders>
            <w:hideMark/>
          </w:tcPr>
          <w:p w14:paraId="0E28F2C8" w14:textId="77777777" w:rsidR="00DC3DE8" w:rsidRDefault="00DC3DE8">
            <w:pPr>
              <w:rPr>
                <w:rFonts w:cs="Arial"/>
                <w:sz w:val="20"/>
                <w:szCs w:val="20"/>
              </w:rPr>
            </w:pPr>
            <w:r>
              <w:rPr>
                <w:rFonts w:cs="Arial"/>
                <w:sz w:val="20"/>
                <w:szCs w:val="20"/>
              </w:rPr>
              <w:t>HD-FDD Type A</w:t>
            </w:r>
          </w:p>
        </w:tc>
        <w:tc>
          <w:tcPr>
            <w:tcW w:w="2925" w:type="dxa"/>
            <w:tcBorders>
              <w:top w:val="single" w:sz="4" w:space="0" w:color="auto"/>
              <w:left w:val="single" w:sz="4" w:space="0" w:color="auto"/>
              <w:bottom w:val="single" w:sz="4" w:space="0" w:color="auto"/>
              <w:right w:val="single" w:sz="4" w:space="0" w:color="auto"/>
            </w:tcBorders>
            <w:hideMark/>
          </w:tcPr>
          <w:p w14:paraId="53F6A976" w14:textId="77777777" w:rsidR="00DC3DE8" w:rsidRDefault="00DC3DE8">
            <w:pPr>
              <w:rPr>
                <w:rFonts w:cs="Arial"/>
                <w:color w:val="00B050"/>
                <w:sz w:val="20"/>
                <w:szCs w:val="20"/>
              </w:rPr>
            </w:pPr>
            <w:r>
              <w:rPr>
                <w:rFonts w:cs="Arial"/>
                <w:color w:val="00B050"/>
                <w:sz w:val="20"/>
                <w:szCs w:val="20"/>
              </w:rPr>
              <w:t>Applicable</w:t>
            </w:r>
          </w:p>
        </w:tc>
        <w:tc>
          <w:tcPr>
            <w:tcW w:w="2925" w:type="dxa"/>
            <w:tcBorders>
              <w:top w:val="single" w:sz="4" w:space="0" w:color="auto"/>
              <w:left w:val="single" w:sz="4" w:space="0" w:color="auto"/>
              <w:bottom w:val="single" w:sz="4" w:space="0" w:color="auto"/>
              <w:right w:val="single" w:sz="4" w:space="0" w:color="auto"/>
            </w:tcBorders>
            <w:hideMark/>
          </w:tcPr>
          <w:p w14:paraId="38D006A8" w14:textId="77777777" w:rsidR="00DC3DE8" w:rsidRDefault="00DC3DE8">
            <w:pPr>
              <w:rPr>
                <w:rFonts w:cs="Arial"/>
                <w:sz w:val="20"/>
                <w:szCs w:val="20"/>
              </w:rPr>
            </w:pPr>
            <w:r>
              <w:rPr>
                <w:rFonts w:cs="Arial"/>
                <w:color w:val="FF0000"/>
                <w:sz w:val="20"/>
                <w:szCs w:val="20"/>
              </w:rPr>
              <w:t>Not applicable</w:t>
            </w:r>
          </w:p>
        </w:tc>
      </w:tr>
      <w:tr w:rsidR="00DC3DE8" w14:paraId="5B76F96A" w14:textId="77777777" w:rsidTr="00DC3DE8">
        <w:trPr>
          <w:trHeight w:val="411"/>
          <w:jc w:val="center"/>
        </w:trPr>
        <w:tc>
          <w:tcPr>
            <w:tcW w:w="2925" w:type="dxa"/>
            <w:gridSpan w:val="2"/>
            <w:tcBorders>
              <w:top w:val="single" w:sz="4" w:space="0" w:color="auto"/>
              <w:left w:val="single" w:sz="4" w:space="0" w:color="auto"/>
              <w:bottom w:val="single" w:sz="4" w:space="0" w:color="auto"/>
              <w:right w:val="single" w:sz="4" w:space="0" w:color="auto"/>
            </w:tcBorders>
            <w:hideMark/>
          </w:tcPr>
          <w:p w14:paraId="48378E94" w14:textId="77777777" w:rsidR="00DC3DE8" w:rsidRDefault="00DC3DE8">
            <w:pPr>
              <w:rPr>
                <w:rFonts w:cs="Arial"/>
                <w:sz w:val="20"/>
                <w:szCs w:val="20"/>
              </w:rPr>
            </w:pPr>
            <w:r>
              <w:rPr>
                <w:rFonts w:cs="Arial"/>
                <w:sz w:val="20"/>
                <w:szCs w:val="20"/>
              </w:rPr>
              <w:t xml:space="preserve">Carrier aggregation (including any and all features that require support for carrier aggregation) </w:t>
            </w:r>
          </w:p>
        </w:tc>
        <w:tc>
          <w:tcPr>
            <w:tcW w:w="2925" w:type="dxa"/>
            <w:tcBorders>
              <w:top w:val="single" w:sz="4" w:space="0" w:color="auto"/>
              <w:left w:val="single" w:sz="4" w:space="0" w:color="auto"/>
              <w:bottom w:val="single" w:sz="4" w:space="0" w:color="auto"/>
              <w:right w:val="single" w:sz="4" w:space="0" w:color="auto"/>
            </w:tcBorders>
            <w:hideMark/>
          </w:tcPr>
          <w:p w14:paraId="16659BA9" w14:textId="77777777" w:rsidR="00DC3DE8" w:rsidRDefault="00DC3DE8">
            <w:pPr>
              <w:rPr>
                <w:rFonts w:cs="Arial"/>
                <w:color w:val="00B050"/>
                <w:sz w:val="20"/>
                <w:szCs w:val="20"/>
              </w:rPr>
            </w:pPr>
            <w:r>
              <w:rPr>
                <w:rFonts w:cs="Arial"/>
                <w:color w:val="FF0000"/>
                <w:sz w:val="20"/>
                <w:szCs w:val="20"/>
              </w:rPr>
              <w:t>Not applicable</w:t>
            </w:r>
          </w:p>
        </w:tc>
        <w:tc>
          <w:tcPr>
            <w:tcW w:w="2925" w:type="dxa"/>
            <w:tcBorders>
              <w:top w:val="single" w:sz="4" w:space="0" w:color="auto"/>
              <w:left w:val="single" w:sz="4" w:space="0" w:color="auto"/>
              <w:bottom w:val="single" w:sz="4" w:space="0" w:color="auto"/>
              <w:right w:val="single" w:sz="4" w:space="0" w:color="auto"/>
            </w:tcBorders>
            <w:hideMark/>
          </w:tcPr>
          <w:p w14:paraId="53115858" w14:textId="77777777" w:rsidR="00DC3DE8" w:rsidRDefault="00DC3DE8">
            <w:pPr>
              <w:rPr>
                <w:rFonts w:cs="Arial"/>
                <w:sz w:val="20"/>
                <w:szCs w:val="20"/>
              </w:rPr>
            </w:pPr>
            <w:r>
              <w:rPr>
                <w:rFonts w:cs="Arial"/>
                <w:color w:val="00B050"/>
                <w:sz w:val="20"/>
                <w:szCs w:val="20"/>
              </w:rPr>
              <w:t>Applicable</w:t>
            </w:r>
          </w:p>
        </w:tc>
      </w:tr>
      <w:tr w:rsidR="00DC3DE8" w14:paraId="513BB83D" w14:textId="77777777" w:rsidTr="00DC3DE8">
        <w:trPr>
          <w:trHeight w:val="417"/>
          <w:jc w:val="center"/>
        </w:trPr>
        <w:tc>
          <w:tcPr>
            <w:tcW w:w="2925" w:type="dxa"/>
            <w:gridSpan w:val="2"/>
            <w:tcBorders>
              <w:top w:val="single" w:sz="4" w:space="0" w:color="auto"/>
              <w:left w:val="single" w:sz="4" w:space="0" w:color="auto"/>
              <w:bottom w:val="single" w:sz="4" w:space="0" w:color="auto"/>
              <w:right w:val="single" w:sz="4" w:space="0" w:color="auto"/>
            </w:tcBorders>
            <w:hideMark/>
          </w:tcPr>
          <w:p w14:paraId="7E4B425A" w14:textId="77777777" w:rsidR="00DC3DE8" w:rsidRDefault="00DC3DE8">
            <w:pPr>
              <w:rPr>
                <w:rFonts w:cs="Arial"/>
                <w:sz w:val="20"/>
                <w:szCs w:val="20"/>
              </w:rPr>
            </w:pPr>
            <w:r>
              <w:rPr>
                <w:rFonts w:cs="Arial"/>
                <w:sz w:val="20"/>
                <w:szCs w:val="20"/>
              </w:rPr>
              <w:t>Dual connectivity (including any and all features that require support for dual connectivity)</w:t>
            </w:r>
          </w:p>
        </w:tc>
        <w:tc>
          <w:tcPr>
            <w:tcW w:w="2925" w:type="dxa"/>
            <w:tcBorders>
              <w:top w:val="single" w:sz="4" w:space="0" w:color="auto"/>
              <w:left w:val="single" w:sz="4" w:space="0" w:color="auto"/>
              <w:bottom w:val="single" w:sz="4" w:space="0" w:color="auto"/>
              <w:right w:val="single" w:sz="4" w:space="0" w:color="auto"/>
            </w:tcBorders>
            <w:hideMark/>
          </w:tcPr>
          <w:p w14:paraId="283D77A6" w14:textId="77777777" w:rsidR="00DC3DE8" w:rsidRDefault="00DC3DE8">
            <w:pPr>
              <w:rPr>
                <w:rFonts w:cs="Arial"/>
                <w:sz w:val="20"/>
                <w:szCs w:val="20"/>
              </w:rPr>
            </w:pPr>
            <w:r>
              <w:rPr>
                <w:rFonts w:cs="Arial"/>
                <w:color w:val="FF0000"/>
                <w:sz w:val="20"/>
                <w:szCs w:val="20"/>
              </w:rPr>
              <w:t>Not applicable</w:t>
            </w:r>
          </w:p>
        </w:tc>
        <w:tc>
          <w:tcPr>
            <w:tcW w:w="2925" w:type="dxa"/>
            <w:tcBorders>
              <w:top w:val="single" w:sz="4" w:space="0" w:color="auto"/>
              <w:left w:val="single" w:sz="4" w:space="0" w:color="auto"/>
              <w:bottom w:val="single" w:sz="4" w:space="0" w:color="auto"/>
              <w:right w:val="single" w:sz="4" w:space="0" w:color="auto"/>
            </w:tcBorders>
            <w:hideMark/>
          </w:tcPr>
          <w:p w14:paraId="5923E602" w14:textId="77777777" w:rsidR="00DC3DE8" w:rsidRDefault="00DC3DE8">
            <w:pPr>
              <w:rPr>
                <w:rFonts w:cs="Arial"/>
                <w:color w:val="00B050"/>
                <w:sz w:val="20"/>
                <w:szCs w:val="20"/>
              </w:rPr>
            </w:pPr>
            <w:r>
              <w:rPr>
                <w:rFonts w:cs="Arial"/>
                <w:color w:val="00B050"/>
                <w:sz w:val="20"/>
                <w:szCs w:val="20"/>
              </w:rPr>
              <w:t>Applicable</w:t>
            </w:r>
          </w:p>
        </w:tc>
      </w:tr>
      <w:tr w:rsidR="00DC3DE8" w14:paraId="52876484" w14:textId="77777777" w:rsidTr="00DC3DE8">
        <w:trPr>
          <w:trHeight w:val="411"/>
          <w:jc w:val="center"/>
        </w:trPr>
        <w:tc>
          <w:tcPr>
            <w:tcW w:w="8775" w:type="dxa"/>
            <w:gridSpan w:val="4"/>
            <w:tcBorders>
              <w:top w:val="single" w:sz="4" w:space="0" w:color="auto"/>
              <w:left w:val="single" w:sz="4" w:space="0" w:color="auto"/>
              <w:bottom w:val="single" w:sz="4" w:space="0" w:color="auto"/>
              <w:right w:val="single" w:sz="4" w:space="0" w:color="auto"/>
            </w:tcBorders>
            <w:hideMark/>
          </w:tcPr>
          <w:p w14:paraId="7B17CA02" w14:textId="77777777" w:rsidR="00DC3DE8" w:rsidRDefault="00DC3DE8">
            <w:pPr>
              <w:rPr>
                <w:rFonts w:cs="Arial"/>
                <w:sz w:val="20"/>
                <w:szCs w:val="20"/>
              </w:rPr>
            </w:pPr>
            <w:r>
              <w:rPr>
                <w:rFonts w:cs="Arial"/>
                <w:sz w:val="20"/>
                <w:szCs w:val="20"/>
              </w:rPr>
              <w:t>Note 1: Support of at least 100 MHz in FR1 and 200 MHz in FR2 is mandatory for non-RedCap UEs (cf. TS 38.306).</w:t>
            </w:r>
          </w:p>
          <w:p w14:paraId="5AADA45D" w14:textId="77777777" w:rsidR="00DC3DE8" w:rsidRDefault="00DC3DE8">
            <w:pPr>
              <w:rPr>
                <w:rFonts w:cs="Arial"/>
                <w:sz w:val="20"/>
                <w:szCs w:val="20"/>
              </w:rPr>
            </w:pPr>
            <w:r>
              <w:rPr>
                <w:rFonts w:cs="Arial"/>
                <w:sz w:val="20"/>
                <w:szCs w:val="20"/>
              </w:rPr>
              <w:lastRenderedPageBreak/>
              <w:t>Note 2: For single CC standalone NR, it is mandatory with capability signaling to support at least 4 MIMO layers in the bands where 4 Rx is specified as mandatory (cf. TS 38.306).</w:t>
            </w:r>
          </w:p>
        </w:tc>
      </w:tr>
    </w:tbl>
    <w:p w14:paraId="2F2808E6" w14:textId="77777777" w:rsidR="00DC3DE8" w:rsidRDefault="00DC3DE8" w:rsidP="00DC3DE8">
      <w:pPr>
        <w:pStyle w:val="Observation"/>
        <w:numPr>
          <w:ilvl w:val="0"/>
          <w:numId w:val="0"/>
        </w:numPr>
      </w:pPr>
    </w:p>
    <w:p w14:paraId="2DEA3D71" w14:textId="1124114C" w:rsidR="00DC3DE8" w:rsidRDefault="00DC3DE8" w:rsidP="00CA23C5">
      <w:pPr>
        <w:pStyle w:val="ArialText"/>
      </w:pPr>
      <w:r>
        <w:t>For support of IAB and URLLC related capabilities, RAN2 has made the following agreement</w:t>
      </w:r>
      <w:r w:rsidR="007E7090">
        <w:t xml:space="preserve"> </w:t>
      </w:r>
      <w:r w:rsidR="007E7090">
        <w:fldChar w:fldCharType="begin"/>
      </w:r>
      <w:r w:rsidR="007E7090">
        <w:instrText xml:space="preserve"> REF _Ref86873143 \r \h </w:instrText>
      </w:r>
      <w:r w:rsidR="00CA23C5">
        <w:instrText xml:space="preserve"> \* MERGEFORMAT </w:instrText>
      </w:r>
      <w:r w:rsidR="007E7090">
        <w:fldChar w:fldCharType="separate"/>
      </w:r>
      <w:r w:rsidR="004667B6">
        <w:t>[10]</w:t>
      </w:r>
      <w:r w:rsidR="007E7090">
        <w:fldChar w:fldCharType="end"/>
      </w:r>
      <w:r>
        <w:t>:</w:t>
      </w:r>
    </w:p>
    <w:tbl>
      <w:tblPr>
        <w:tblStyle w:val="TableGrid"/>
        <w:tblW w:w="0" w:type="auto"/>
        <w:tblLook w:val="04A0" w:firstRow="1" w:lastRow="0" w:firstColumn="1" w:lastColumn="0" w:noHBand="0" w:noVBand="1"/>
      </w:tblPr>
      <w:tblGrid>
        <w:gridCol w:w="9629"/>
      </w:tblGrid>
      <w:tr w:rsidR="00DC3DE8" w14:paraId="3A311B52" w14:textId="77777777" w:rsidTr="00DC3DE8">
        <w:tc>
          <w:tcPr>
            <w:tcW w:w="9629" w:type="dxa"/>
            <w:tcBorders>
              <w:top w:val="single" w:sz="4" w:space="0" w:color="auto"/>
              <w:left w:val="single" w:sz="4" w:space="0" w:color="auto"/>
              <w:bottom w:val="single" w:sz="4" w:space="0" w:color="auto"/>
              <w:right w:val="single" w:sz="4" w:space="0" w:color="auto"/>
            </w:tcBorders>
            <w:hideMark/>
          </w:tcPr>
          <w:p w14:paraId="0E43E262" w14:textId="77777777" w:rsidR="00DC3DE8" w:rsidRDefault="00DC3DE8" w:rsidP="00CA23C5">
            <w:pPr>
              <w:spacing w:after="0" w:line="240" w:lineRule="auto"/>
              <w:jc w:val="both"/>
              <w:rPr>
                <w:rFonts w:cs="Arial"/>
                <w:sz w:val="20"/>
                <w:szCs w:val="20"/>
              </w:rPr>
            </w:pPr>
            <w:r>
              <w:rPr>
                <w:rFonts w:cs="Arial"/>
                <w:sz w:val="20"/>
                <w:szCs w:val="20"/>
              </w:rPr>
              <w:t>Agreements via email - from offline 109:</w:t>
            </w:r>
          </w:p>
          <w:p w14:paraId="5D508445" w14:textId="77777777" w:rsidR="00DC3DE8" w:rsidRDefault="00DC3DE8" w:rsidP="00CA23C5">
            <w:pPr>
              <w:pStyle w:val="ListParagraph"/>
              <w:widowControl w:val="0"/>
              <w:numPr>
                <w:ilvl w:val="0"/>
                <w:numId w:val="33"/>
              </w:numPr>
              <w:spacing w:line="240" w:lineRule="auto"/>
              <w:jc w:val="both"/>
              <w:rPr>
                <w:rFonts w:ascii="Arial" w:hAnsi="Arial" w:cs="Arial"/>
                <w:sz w:val="20"/>
                <w:szCs w:val="20"/>
              </w:rPr>
            </w:pPr>
            <w:r>
              <w:rPr>
                <w:rFonts w:ascii="Arial" w:hAnsi="Arial" w:cs="Arial"/>
                <w:sz w:val="20"/>
                <w:szCs w:val="20"/>
                <w:lang w:val="en-US"/>
              </w:rPr>
              <w:t>[…]</w:t>
            </w:r>
          </w:p>
          <w:p w14:paraId="74EF2D85" w14:textId="77777777" w:rsidR="00DC3DE8" w:rsidRDefault="00DC3DE8" w:rsidP="00CA23C5">
            <w:pPr>
              <w:pStyle w:val="ListParagraph"/>
              <w:widowControl w:val="0"/>
              <w:numPr>
                <w:ilvl w:val="0"/>
                <w:numId w:val="33"/>
              </w:numPr>
              <w:spacing w:line="240" w:lineRule="auto"/>
              <w:jc w:val="both"/>
              <w:rPr>
                <w:rFonts w:ascii="Arial" w:hAnsi="Arial" w:cs="Arial"/>
                <w:sz w:val="20"/>
                <w:szCs w:val="20"/>
              </w:rPr>
            </w:pPr>
            <w:r>
              <w:rPr>
                <w:rFonts w:ascii="Arial" w:hAnsi="Arial" w:cs="Arial"/>
                <w:sz w:val="20"/>
                <w:szCs w:val="20"/>
              </w:rPr>
              <w:t>From RAN2 perspective, URLLC related capabilities are applicable for RedCap UE except those affected by CA/DC;</w:t>
            </w:r>
          </w:p>
          <w:p w14:paraId="16B23B15" w14:textId="77777777" w:rsidR="00DC3DE8" w:rsidRDefault="00DC3DE8" w:rsidP="00CA23C5">
            <w:pPr>
              <w:pStyle w:val="ListParagraph"/>
              <w:widowControl w:val="0"/>
              <w:numPr>
                <w:ilvl w:val="0"/>
                <w:numId w:val="33"/>
              </w:numPr>
              <w:spacing w:line="240" w:lineRule="auto"/>
              <w:jc w:val="both"/>
              <w:rPr>
                <w:rFonts w:ascii="Arial" w:hAnsi="Arial" w:cs="Arial"/>
                <w:sz w:val="20"/>
                <w:szCs w:val="20"/>
              </w:rPr>
            </w:pPr>
            <w:r>
              <w:rPr>
                <w:rFonts w:ascii="Arial" w:hAnsi="Arial" w:cs="Arial"/>
                <w:sz w:val="20"/>
                <w:szCs w:val="20"/>
              </w:rPr>
              <w:t>From RAN2 perspective, IAB related capabilities are not applicable for RedCap UE, i.e. the RedCap UE is not expected to act as IAB node;</w:t>
            </w:r>
          </w:p>
          <w:p w14:paraId="2170005F" w14:textId="295CC67F" w:rsidR="00B347CC" w:rsidRPr="005C40FB" w:rsidRDefault="00DC3DE8" w:rsidP="00CA23C5">
            <w:pPr>
              <w:pStyle w:val="ListParagraph"/>
              <w:widowControl w:val="0"/>
              <w:numPr>
                <w:ilvl w:val="0"/>
                <w:numId w:val="33"/>
              </w:numPr>
              <w:spacing w:line="240" w:lineRule="auto"/>
              <w:jc w:val="both"/>
              <w:rPr>
                <w:rFonts w:ascii="Arial" w:hAnsi="Arial" w:cs="Arial"/>
                <w:sz w:val="20"/>
                <w:szCs w:val="20"/>
              </w:rPr>
            </w:pPr>
            <w:r>
              <w:rPr>
                <w:rFonts w:ascii="Arial" w:hAnsi="Arial" w:cs="Arial"/>
                <w:sz w:val="20"/>
                <w:szCs w:val="20"/>
                <w:lang w:val="en-US"/>
              </w:rPr>
              <w:t>[…]</w:t>
            </w:r>
            <w:r w:rsidR="005C40FB">
              <w:rPr>
                <w:rFonts w:ascii="Arial" w:hAnsi="Arial" w:cs="Arial"/>
                <w:sz w:val="20"/>
                <w:szCs w:val="20"/>
                <w:lang w:val="en-US"/>
              </w:rPr>
              <w:br/>
            </w:r>
          </w:p>
          <w:p w14:paraId="4E916088" w14:textId="22C52FE4" w:rsidR="00B347CC" w:rsidRPr="00B347CC" w:rsidRDefault="00B347CC" w:rsidP="00CA23C5">
            <w:pPr>
              <w:widowControl w:val="0"/>
              <w:spacing w:line="240" w:lineRule="auto"/>
              <w:jc w:val="both"/>
              <w:rPr>
                <w:rFonts w:cs="Arial"/>
                <w:sz w:val="20"/>
                <w:szCs w:val="20"/>
              </w:rPr>
            </w:pPr>
          </w:p>
        </w:tc>
      </w:tr>
    </w:tbl>
    <w:p w14:paraId="6B0D78B3" w14:textId="127AC1D4" w:rsidR="00970ECA" w:rsidRDefault="00E76B93" w:rsidP="00CA23C5">
      <w:pPr>
        <w:pStyle w:val="ArialText"/>
      </w:pPr>
      <w:r>
        <w:br/>
      </w:r>
      <w:r w:rsidR="00DC3DE8">
        <w:t>Therefore, IAB related capabilities should not be applicable for RedCap UEs (also from RAN1 perspective). For V2X/PC5 support in band n47, operation in unlicensed bands, and SUL support, it has been agreed by RAN plenary during RAN#93-e that the specifications will not contain any explicit restriction to prevent implementation of RedCap UEs with these features (see</w:t>
      </w:r>
      <w:r w:rsidR="002D37B9">
        <w:t xml:space="preserve"> below</w:t>
      </w:r>
      <w:r w:rsidR="00DC3DE8">
        <w:t>), although there will be no work in Rel-17 on any RedCap specific specification update to support them</w:t>
      </w:r>
      <w:r w:rsidR="00F534D3">
        <w:t xml:space="preserve"> </w:t>
      </w:r>
      <w:r w:rsidR="00F534D3">
        <w:fldChar w:fldCharType="begin"/>
      </w:r>
      <w:r w:rsidR="00F534D3">
        <w:instrText xml:space="preserve"> REF _Ref83123728 \r \h </w:instrText>
      </w:r>
      <w:r w:rsidR="00CA23C5">
        <w:instrText xml:space="preserve"> \* MERGEFORMAT </w:instrText>
      </w:r>
      <w:r w:rsidR="00F534D3">
        <w:fldChar w:fldCharType="separate"/>
      </w:r>
      <w:r w:rsidR="004667B6">
        <w:t>[12]</w:t>
      </w:r>
      <w:r w:rsidR="00F534D3">
        <w:fldChar w:fldCharType="end"/>
      </w:r>
      <w:r w:rsidR="00DC3DE8">
        <w:t>.</w:t>
      </w:r>
    </w:p>
    <w:tbl>
      <w:tblPr>
        <w:tblStyle w:val="TableGrid"/>
        <w:tblW w:w="0" w:type="auto"/>
        <w:tblLook w:val="04A0" w:firstRow="1" w:lastRow="0" w:firstColumn="1" w:lastColumn="0" w:noHBand="0" w:noVBand="1"/>
      </w:tblPr>
      <w:tblGrid>
        <w:gridCol w:w="9629"/>
      </w:tblGrid>
      <w:tr w:rsidR="00DC3DE8" w14:paraId="353F9DAF" w14:textId="77777777" w:rsidTr="00DC3DE8">
        <w:tc>
          <w:tcPr>
            <w:tcW w:w="9629" w:type="dxa"/>
            <w:tcBorders>
              <w:top w:val="single" w:sz="4" w:space="0" w:color="auto"/>
              <w:left w:val="single" w:sz="4" w:space="0" w:color="auto"/>
              <w:bottom w:val="single" w:sz="4" w:space="0" w:color="auto"/>
              <w:right w:val="single" w:sz="4" w:space="0" w:color="auto"/>
            </w:tcBorders>
            <w:hideMark/>
          </w:tcPr>
          <w:p w14:paraId="42A54C09" w14:textId="77777777" w:rsidR="00DC3DE8" w:rsidRDefault="00DC3DE8" w:rsidP="00CA23C5">
            <w:pPr>
              <w:pStyle w:val="ListParagraph"/>
              <w:numPr>
                <w:ilvl w:val="0"/>
                <w:numId w:val="34"/>
              </w:numPr>
              <w:spacing w:line="256" w:lineRule="auto"/>
              <w:jc w:val="both"/>
              <w:rPr>
                <w:rFonts w:ascii="Arial" w:hAnsi="Arial" w:cs="Arial"/>
                <w:sz w:val="20"/>
                <w:szCs w:val="20"/>
              </w:rPr>
            </w:pPr>
            <w:r>
              <w:rPr>
                <w:rFonts w:ascii="Arial" w:hAnsi="Arial" w:cs="Arial"/>
                <w:sz w:val="20"/>
                <w:szCs w:val="20"/>
              </w:rPr>
              <w:t>In Rel-17, there will be no work on any RedCap specific specification update for any of the following:</w:t>
            </w:r>
          </w:p>
          <w:p w14:paraId="5A62BD80" w14:textId="77777777" w:rsidR="00DC3DE8" w:rsidRDefault="00DC3DE8" w:rsidP="00CA23C5">
            <w:pPr>
              <w:pStyle w:val="ListParagraph"/>
              <w:numPr>
                <w:ilvl w:val="0"/>
                <w:numId w:val="35"/>
              </w:numPr>
              <w:spacing w:line="256" w:lineRule="auto"/>
              <w:jc w:val="both"/>
              <w:rPr>
                <w:rFonts w:ascii="Arial" w:hAnsi="Arial" w:cs="Arial"/>
                <w:sz w:val="20"/>
                <w:szCs w:val="20"/>
              </w:rPr>
            </w:pPr>
            <w:r>
              <w:rPr>
                <w:rFonts w:ascii="Arial" w:hAnsi="Arial" w:cs="Arial"/>
                <w:sz w:val="20"/>
                <w:szCs w:val="20"/>
              </w:rPr>
              <w:t>RedCap UEs also supporting V2X/PC5 on n47</w:t>
            </w:r>
          </w:p>
          <w:p w14:paraId="190CB53D" w14:textId="77777777" w:rsidR="00DC3DE8" w:rsidRDefault="00DC3DE8" w:rsidP="00CA23C5">
            <w:pPr>
              <w:pStyle w:val="ListParagraph"/>
              <w:numPr>
                <w:ilvl w:val="0"/>
                <w:numId w:val="35"/>
              </w:numPr>
              <w:spacing w:line="256" w:lineRule="auto"/>
              <w:jc w:val="both"/>
              <w:rPr>
                <w:rFonts w:ascii="Arial" w:hAnsi="Arial" w:cs="Arial"/>
                <w:sz w:val="20"/>
                <w:szCs w:val="20"/>
              </w:rPr>
            </w:pPr>
            <w:r>
              <w:rPr>
                <w:rFonts w:ascii="Arial" w:hAnsi="Arial" w:cs="Arial"/>
                <w:sz w:val="20"/>
                <w:szCs w:val="20"/>
              </w:rPr>
              <w:t>RedCap UEs operating in unlicensed bands</w:t>
            </w:r>
          </w:p>
          <w:p w14:paraId="1791A18E" w14:textId="77777777" w:rsidR="00DC3DE8" w:rsidRDefault="00DC3DE8" w:rsidP="00CA23C5">
            <w:pPr>
              <w:pStyle w:val="ListParagraph"/>
              <w:numPr>
                <w:ilvl w:val="0"/>
                <w:numId w:val="35"/>
              </w:numPr>
              <w:spacing w:line="256" w:lineRule="auto"/>
              <w:jc w:val="both"/>
              <w:rPr>
                <w:rFonts w:ascii="Arial" w:hAnsi="Arial" w:cs="Arial"/>
                <w:sz w:val="20"/>
                <w:szCs w:val="20"/>
                <w:lang w:val="en-US"/>
              </w:rPr>
            </w:pPr>
            <w:r>
              <w:rPr>
                <w:rFonts w:ascii="Arial" w:hAnsi="Arial" w:cs="Arial"/>
                <w:sz w:val="20"/>
                <w:szCs w:val="20"/>
              </w:rPr>
              <w:t xml:space="preserve">RedCap UEs supporting SUL </w:t>
            </w:r>
          </w:p>
          <w:p w14:paraId="48EF877F" w14:textId="77777777" w:rsidR="00DC3DE8" w:rsidRDefault="00DC3DE8" w:rsidP="00CA23C5">
            <w:pPr>
              <w:pStyle w:val="ListParagraph"/>
              <w:numPr>
                <w:ilvl w:val="0"/>
                <w:numId w:val="34"/>
              </w:numPr>
              <w:spacing w:line="256" w:lineRule="auto"/>
              <w:jc w:val="both"/>
              <w:rPr>
                <w:rFonts w:ascii="Arial" w:hAnsi="Arial" w:cs="Arial"/>
                <w:sz w:val="20"/>
                <w:szCs w:val="20"/>
              </w:rPr>
            </w:pPr>
            <w:r>
              <w:rPr>
                <w:rFonts w:ascii="Arial" w:hAnsi="Arial" w:cs="Arial"/>
                <w:sz w:val="20"/>
                <w:szCs w:val="20"/>
              </w:rPr>
              <w:t>The specification will not contain any explicit restriction to prevent implementation of RedCap UEs with these features.</w:t>
            </w:r>
          </w:p>
          <w:p w14:paraId="282DF4D8" w14:textId="77777777" w:rsidR="00DC3DE8" w:rsidRDefault="00DC3DE8" w:rsidP="00CA23C5">
            <w:pPr>
              <w:pStyle w:val="ListParagraph"/>
              <w:numPr>
                <w:ilvl w:val="0"/>
                <w:numId w:val="34"/>
              </w:numPr>
              <w:spacing w:line="256" w:lineRule="auto"/>
              <w:jc w:val="both"/>
              <w:rPr>
                <w:rFonts w:ascii="Arial" w:hAnsi="Arial" w:cs="Arial"/>
                <w:sz w:val="20"/>
                <w:szCs w:val="20"/>
              </w:rPr>
            </w:pPr>
            <w:r>
              <w:rPr>
                <w:rFonts w:ascii="Arial" w:hAnsi="Arial" w:cs="Arial"/>
                <w:sz w:val="20"/>
                <w:szCs w:val="20"/>
              </w:rPr>
              <w:t>Note: The consequence of this agreement would be:</w:t>
            </w:r>
          </w:p>
          <w:p w14:paraId="0616D6EB" w14:textId="4F0F2C13" w:rsidR="00B347CC" w:rsidRPr="005C40FB" w:rsidRDefault="00DC3DE8" w:rsidP="00CA23C5">
            <w:pPr>
              <w:pStyle w:val="ListParagraph"/>
              <w:numPr>
                <w:ilvl w:val="0"/>
                <w:numId w:val="36"/>
              </w:numPr>
              <w:spacing w:line="256" w:lineRule="auto"/>
              <w:jc w:val="both"/>
              <w:rPr>
                <w:rFonts w:ascii="Arial" w:hAnsi="Arial" w:cs="Arial"/>
                <w:sz w:val="20"/>
                <w:szCs w:val="20"/>
              </w:rPr>
            </w:pPr>
            <w:r>
              <w:rPr>
                <w:rFonts w:ascii="Arial" w:hAnsi="Arial" w:cs="Arial"/>
                <w:sz w:val="20"/>
                <w:szCs w:val="20"/>
              </w:rPr>
              <w:t>If any spec change/addition is found necessary in order to enable one of the options above then it will not happen in Rel-17.</w:t>
            </w:r>
            <w:r w:rsidR="005C40FB">
              <w:rPr>
                <w:rFonts w:ascii="Arial" w:hAnsi="Arial" w:cs="Arial"/>
                <w:sz w:val="20"/>
                <w:szCs w:val="20"/>
              </w:rPr>
              <w:br/>
            </w:r>
          </w:p>
        </w:tc>
      </w:tr>
    </w:tbl>
    <w:p w14:paraId="3FFF7BE2" w14:textId="350CFEEC" w:rsidR="006260FE" w:rsidRDefault="00970ECA" w:rsidP="00CA23C5">
      <w:pPr>
        <w:pStyle w:val="Observation"/>
        <w:numPr>
          <w:ilvl w:val="0"/>
          <w:numId w:val="0"/>
        </w:numPr>
        <w:rPr>
          <w:b w:val="0"/>
          <w:bCs w:val="0"/>
        </w:rPr>
      </w:pPr>
      <w:r>
        <w:rPr>
          <w:b w:val="0"/>
          <w:bCs w:val="0"/>
        </w:rPr>
        <w:br/>
      </w:r>
      <w:r w:rsidRPr="00970ECA">
        <w:rPr>
          <w:b w:val="0"/>
          <w:bCs w:val="0"/>
        </w:rPr>
        <w:t xml:space="preserve">In our view, </w:t>
      </w:r>
      <w:r w:rsidR="00ED7921">
        <w:rPr>
          <w:b w:val="0"/>
          <w:bCs w:val="0"/>
        </w:rPr>
        <w:t xml:space="preserve">a similar approach can be used for other legacy features, i.e., if support of the legacy feature is not explicitly precluded by the WID </w:t>
      </w:r>
      <w:r w:rsidR="00ED7921">
        <w:rPr>
          <w:b w:val="0"/>
          <w:bCs w:val="0"/>
        </w:rPr>
        <w:fldChar w:fldCharType="begin"/>
      </w:r>
      <w:r w:rsidR="00ED7921">
        <w:rPr>
          <w:b w:val="0"/>
          <w:bCs w:val="0"/>
        </w:rPr>
        <w:instrText xml:space="preserve"> REF _Ref65143491 \r \h </w:instrText>
      </w:r>
      <w:r w:rsidR="00CA23C5">
        <w:rPr>
          <w:b w:val="0"/>
          <w:bCs w:val="0"/>
        </w:rPr>
        <w:instrText xml:space="preserve"> \* MERGEFORMAT </w:instrText>
      </w:r>
      <w:r w:rsidR="00ED7921">
        <w:rPr>
          <w:b w:val="0"/>
          <w:bCs w:val="0"/>
        </w:rPr>
      </w:r>
      <w:r w:rsidR="00ED7921">
        <w:rPr>
          <w:b w:val="0"/>
          <w:bCs w:val="0"/>
        </w:rPr>
        <w:fldChar w:fldCharType="separate"/>
      </w:r>
      <w:r w:rsidR="004667B6">
        <w:rPr>
          <w:b w:val="0"/>
          <w:bCs w:val="0"/>
        </w:rPr>
        <w:t>[1]</w:t>
      </w:r>
      <w:r w:rsidR="00ED7921">
        <w:rPr>
          <w:b w:val="0"/>
          <w:bCs w:val="0"/>
        </w:rPr>
        <w:fldChar w:fldCharType="end"/>
      </w:r>
      <w:r w:rsidR="00ED7921">
        <w:rPr>
          <w:b w:val="0"/>
          <w:bCs w:val="0"/>
        </w:rPr>
        <w:t xml:space="preserve"> or other agreements, and there are no convincing technical reasons to preclude a RedCap UE from supporting the feature, then the legacy feature can remain </w:t>
      </w:r>
      <w:r w:rsidR="00A16C0F">
        <w:rPr>
          <w:b w:val="0"/>
          <w:bCs w:val="0"/>
        </w:rPr>
        <w:t>applicable</w:t>
      </w:r>
      <w:r w:rsidR="00ED7921">
        <w:rPr>
          <w:b w:val="0"/>
          <w:bCs w:val="0"/>
        </w:rPr>
        <w:t xml:space="preserve"> for RedCap UEs. In fact, if nothing else is agreed, we assume that this is the default scenario.</w:t>
      </w:r>
    </w:p>
    <w:p w14:paraId="59BE6109" w14:textId="00DCB13D" w:rsidR="006260FE" w:rsidRPr="00CA23C5" w:rsidRDefault="00ED7921" w:rsidP="00CA23C5">
      <w:pPr>
        <w:pStyle w:val="Proposal"/>
      </w:pPr>
      <w:bookmarkStart w:id="9" w:name="_Toc87060255"/>
      <w:r>
        <w:t xml:space="preserve">As a general principle, which can be seen as the default scenario, if support of a legacy feature is not explicitly precluded by the WID or other agreements, and there are no convincing technical reasons to preclude a RedCap UE from supporting the feature, then the legacy feature can remain </w:t>
      </w:r>
      <w:r w:rsidR="008D2259">
        <w:t>applicable</w:t>
      </w:r>
      <w:r>
        <w:t xml:space="preserve"> for RedCap UEs.</w:t>
      </w:r>
      <w:bookmarkEnd w:id="9"/>
    </w:p>
    <w:p w14:paraId="145D632D" w14:textId="2022A463" w:rsidR="00D729B7" w:rsidRPr="00BA78F4" w:rsidRDefault="00DC3DE8" w:rsidP="00CA23C5">
      <w:pPr>
        <w:pStyle w:val="Heading1"/>
        <w:jc w:val="both"/>
      </w:pPr>
      <w:r>
        <w:t>4</w:t>
      </w:r>
      <w:r w:rsidR="00D729B7" w:rsidRPr="00BA78F4">
        <w:tab/>
        <w:t>Conclusion</w:t>
      </w:r>
    </w:p>
    <w:p w14:paraId="5DB27F9A" w14:textId="77777777" w:rsidR="00D729B7" w:rsidRDefault="00D729B7" w:rsidP="00CA23C5">
      <w:pPr>
        <w:pStyle w:val="BodyText"/>
      </w:pPr>
      <w:r w:rsidRPr="00CE0424">
        <w:t xml:space="preserve">Based on the discussion in </w:t>
      </w:r>
      <w:r>
        <w:t xml:space="preserve">the previous </w:t>
      </w:r>
      <w:r w:rsidRPr="00CE0424">
        <w:t>section</w:t>
      </w:r>
      <w:r>
        <w:t>s</w:t>
      </w:r>
      <w:r w:rsidRPr="00CE0424">
        <w:t xml:space="preserve"> we propose the following:</w:t>
      </w:r>
    </w:p>
    <w:p w14:paraId="22E49236" w14:textId="2CD0C260" w:rsidR="004667B6" w:rsidRDefault="00D729B7">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87060249" w:history="1">
        <w:r w:rsidR="004667B6" w:rsidRPr="00597918">
          <w:rPr>
            <w:rStyle w:val="Hyperlink"/>
            <w:noProof/>
          </w:rPr>
          <w:t>Proposal 1</w:t>
        </w:r>
        <w:r w:rsidR="004667B6">
          <w:rPr>
            <w:rFonts w:asciiTheme="minorHAnsi" w:eastAsiaTheme="minorEastAsia" w:hAnsiTheme="minorHAnsi"/>
            <w:b w:val="0"/>
            <w:noProof/>
            <w:sz w:val="22"/>
            <w:lang w:val="sv-SE" w:eastAsia="sv-SE"/>
          </w:rPr>
          <w:tab/>
        </w:r>
        <w:r w:rsidR="004667B6" w:rsidRPr="00597918">
          <w:rPr>
            <w:rStyle w:val="Hyperlink"/>
            <w:noProof/>
          </w:rPr>
          <w:t>For FG 28-1 (‘RedCap UE’), add components so that FG 28-1 corresponds to the simplest Rel-17 RedCap UE, i.e., single Rx branch, single DL MIMO layer, HD-FDD operation (in FDD bands), and no DL 256QAM support (in FR1). Note that in that case, the other RedCap FGs should be defined so that they add functionality (two Rx branches, two DL MIMO layers, FD-FDD operation, DL 256QAM) on top of FG 28-1.</w:t>
        </w:r>
      </w:hyperlink>
    </w:p>
    <w:p w14:paraId="35C9E102" w14:textId="08D5C1A9" w:rsidR="004667B6" w:rsidRDefault="004667B6">
      <w:pPr>
        <w:pStyle w:val="TableofFigures"/>
        <w:tabs>
          <w:tab w:val="right" w:leader="dot" w:pos="9629"/>
        </w:tabs>
        <w:rPr>
          <w:rFonts w:asciiTheme="minorHAnsi" w:eastAsiaTheme="minorEastAsia" w:hAnsiTheme="minorHAnsi"/>
          <w:b w:val="0"/>
          <w:noProof/>
          <w:sz w:val="22"/>
          <w:lang w:val="sv-SE" w:eastAsia="sv-SE"/>
        </w:rPr>
      </w:pPr>
      <w:hyperlink w:anchor="_Toc87060250" w:history="1">
        <w:r w:rsidRPr="00597918">
          <w:rPr>
            <w:rStyle w:val="Hyperlink"/>
            <w:noProof/>
          </w:rPr>
          <w:t>Proposal 2</w:t>
        </w:r>
        <w:r>
          <w:rPr>
            <w:rFonts w:asciiTheme="minorHAnsi" w:eastAsiaTheme="minorEastAsia" w:hAnsiTheme="minorHAnsi"/>
            <w:b w:val="0"/>
            <w:noProof/>
            <w:sz w:val="22"/>
            <w:lang w:val="sv-SE" w:eastAsia="sv-SE"/>
          </w:rPr>
          <w:tab/>
        </w:r>
        <w:r w:rsidRPr="00597918">
          <w:rPr>
            <w:rStyle w:val="Hyperlink"/>
            <w:noProof/>
          </w:rPr>
          <w:t>For FG 28-1 (‘RedCap UE’), discuss whether there is any need of FR1/FR2 differentiation.</w:t>
        </w:r>
      </w:hyperlink>
    </w:p>
    <w:p w14:paraId="1CC9D6D5" w14:textId="5C02EA5F" w:rsidR="004667B6" w:rsidRDefault="004667B6">
      <w:pPr>
        <w:pStyle w:val="TableofFigures"/>
        <w:tabs>
          <w:tab w:val="right" w:leader="dot" w:pos="9629"/>
        </w:tabs>
        <w:rPr>
          <w:rFonts w:asciiTheme="minorHAnsi" w:eastAsiaTheme="minorEastAsia" w:hAnsiTheme="minorHAnsi"/>
          <w:b w:val="0"/>
          <w:noProof/>
          <w:sz w:val="22"/>
          <w:lang w:val="sv-SE" w:eastAsia="sv-SE"/>
        </w:rPr>
      </w:pPr>
      <w:hyperlink w:anchor="_Toc87060251" w:history="1">
        <w:r w:rsidRPr="00597918">
          <w:rPr>
            <w:rStyle w:val="Hyperlink"/>
            <w:noProof/>
          </w:rPr>
          <w:t>Proposal 3</w:t>
        </w:r>
        <w:r>
          <w:rPr>
            <w:rFonts w:asciiTheme="minorHAnsi" w:eastAsiaTheme="minorEastAsia" w:hAnsiTheme="minorHAnsi"/>
            <w:b w:val="0"/>
            <w:noProof/>
            <w:sz w:val="22"/>
            <w:lang w:val="sv-SE" w:eastAsia="sv-SE"/>
          </w:rPr>
          <w:tab/>
        </w:r>
        <w:r w:rsidRPr="00597918">
          <w:rPr>
            <w:rStyle w:val="Hyperlink"/>
            <w:noProof/>
          </w:rPr>
          <w:t>For FG 28-1 (‘RedCap UE’), for the fields “Consequences if not supported”, “Type”, “Need of FDD/TDD differentiation” and “Note”, the highlighted text can be used as is.</w:t>
        </w:r>
      </w:hyperlink>
    </w:p>
    <w:p w14:paraId="06435956" w14:textId="75B6B58D" w:rsidR="004667B6" w:rsidRDefault="004667B6">
      <w:pPr>
        <w:pStyle w:val="TableofFigures"/>
        <w:tabs>
          <w:tab w:val="right" w:leader="dot" w:pos="9629"/>
        </w:tabs>
        <w:rPr>
          <w:rFonts w:asciiTheme="minorHAnsi" w:eastAsiaTheme="minorEastAsia" w:hAnsiTheme="minorHAnsi"/>
          <w:b w:val="0"/>
          <w:noProof/>
          <w:sz w:val="22"/>
          <w:lang w:val="sv-SE" w:eastAsia="sv-SE"/>
        </w:rPr>
      </w:pPr>
      <w:hyperlink w:anchor="_Toc87060252" w:history="1">
        <w:r w:rsidRPr="00597918">
          <w:rPr>
            <w:rStyle w:val="Hyperlink"/>
            <w:noProof/>
          </w:rPr>
          <w:t>Proposal 4</w:t>
        </w:r>
        <w:r>
          <w:rPr>
            <w:rFonts w:asciiTheme="minorHAnsi" w:eastAsiaTheme="minorEastAsia" w:hAnsiTheme="minorHAnsi"/>
            <w:b w:val="0"/>
            <w:noProof/>
            <w:sz w:val="22"/>
            <w:lang w:val="sv-SE" w:eastAsia="sv-SE"/>
          </w:rPr>
          <w:tab/>
        </w:r>
        <w:r w:rsidRPr="00597918">
          <w:rPr>
            <w:rStyle w:val="Hyperlink"/>
            <w:noProof/>
          </w:rPr>
          <w:t>FG 28-2 (‘Number of UE Rx branches and DL MIMO layers for RedCap UE’’) is per band (or per FSPC if it is desired to align with legacy signaling solution).</w:t>
        </w:r>
      </w:hyperlink>
    </w:p>
    <w:p w14:paraId="60C6F54F" w14:textId="62A0BFCA" w:rsidR="004667B6" w:rsidRDefault="004667B6">
      <w:pPr>
        <w:pStyle w:val="TableofFigures"/>
        <w:tabs>
          <w:tab w:val="right" w:leader="dot" w:pos="9629"/>
        </w:tabs>
        <w:rPr>
          <w:rFonts w:asciiTheme="minorHAnsi" w:eastAsiaTheme="minorEastAsia" w:hAnsiTheme="minorHAnsi"/>
          <w:b w:val="0"/>
          <w:noProof/>
          <w:sz w:val="22"/>
          <w:lang w:val="sv-SE" w:eastAsia="sv-SE"/>
        </w:rPr>
      </w:pPr>
      <w:hyperlink w:anchor="_Toc87060253" w:history="1">
        <w:r w:rsidRPr="00597918">
          <w:rPr>
            <w:rStyle w:val="Hyperlink"/>
            <w:noProof/>
          </w:rPr>
          <w:t>Proposal 5</w:t>
        </w:r>
        <w:r>
          <w:rPr>
            <w:rFonts w:asciiTheme="minorHAnsi" w:eastAsiaTheme="minorEastAsia" w:hAnsiTheme="minorHAnsi"/>
            <w:b w:val="0"/>
            <w:noProof/>
            <w:sz w:val="22"/>
            <w:lang w:val="sv-SE" w:eastAsia="sv-SE"/>
          </w:rPr>
          <w:tab/>
        </w:r>
        <w:r w:rsidRPr="00597918">
          <w:rPr>
            <w:rStyle w:val="Hyperlink"/>
            <w:noProof/>
          </w:rPr>
          <w:t>FG 28-3 (‘</w:t>
        </w:r>
        <w:r w:rsidRPr="00597918">
          <w:rPr>
            <w:rStyle w:val="Hyperlink"/>
            <w:rFonts w:cs="Arial"/>
            <w:noProof/>
          </w:rPr>
          <w:t>Half-duplex FDD operation for RedCap UE’</w:t>
        </w:r>
        <w:r w:rsidRPr="00597918">
          <w:rPr>
            <w:rStyle w:val="Hyperlink"/>
            <w:noProof/>
          </w:rPr>
          <w:t>) is per band.</w:t>
        </w:r>
      </w:hyperlink>
    </w:p>
    <w:p w14:paraId="4BBDB2F6" w14:textId="03A5DBED" w:rsidR="004667B6" w:rsidRDefault="004667B6">
      <w:pPr>
        <w:pStyle w:val="TableofFigures"/>
        <w:tabs>
          <w:tab w:val="right" w:leader="dot" w:pos="9629"/>
        </w:tabs>
        <w:rPr>
          <w:rFonts w:asciiTheme="minorHAnsi" w:eastAsiaTheme="minorEastAsia" w:hAnsiTheme="minorHAnsi"/>
          <w:b w:val="0"/>
          <w:noProof/>
          <w:sz w:val="22"/>
          <w:lang w:val="sv-SE" w:eastAsia="sv-SE"/>
        </w:rPr>
      </w:pPr>
      <w:hyperlink w:anchor="_Toc87060254" w:history="1">
        <w:r w:rsidRPr="00597918">
          <w:rPr>
            <w:rStyle w:val="Hyperlink"/>
            <w:noProof/>
          </w:rPr>
          <w:t>Proposal 6</w:t>
        </w:r>
        <w:r>
          <w:rPr>
            <w:rFonts w:asciiTheme="minorHAnsi" w:eastAsiaTheme="minorEastAsia" w:hAnsiTheme="minorHAnsi"/>
            <w:b w:val="0"/>
            <w:noProof/>
            <w:sz w:val="22"/>
            <w:lang w:val="sv-SE" w:eastAsia="sv-SE"/>
          </w:rPr>
          <w:tab/>
        </w:r>
        <w:r w:rsidRPr="00597918">
          <w:rPr>
            <w:rStyle w:val="Hyperlink"/>
            <w:noProof/>
          </w:rPr>
          <w:t>Discuss how to capture RedCap RAN1 agreements related to DL/UL modulation support.</w:t>
        </w:r>
      </w:hyperlink>
    </w:p>
    <w:p w14:paraId="47876A59" w14:textId="5B36EA5D" w:rsidR="004667B6" w:rsidRDefault="004667B6">
      <w:pPr>
        <w:pStyle w:val="TableofFigures"/>
        <w:tabs>
          <w:tab w:val="right" w:leader="dot" w:pos="9629"/>
        </w:tabs>
        <w:rPr>
          <w:rFonts w:asciiTheme="minorHAnsi" w:eastAsiaTheme="minorEastAsia" w:hAnsiTheme="minorHAnsi"/>
          <w:b w:val="0"/>
          <w:noProof/>
          <w:sz w:val="22"/>
          <w:lang w:val="sv-SE" w:eastAsia="sv-SE"/>
        </w:rPr>
      </w:pPr>
      <w:hyperlink w:anchor="_Toc87060255" w:history="1">
        <w:r w:rsidRPr="00597918">
          <w:rPr>
            <w:rStyle w:val="Hyperlink"/>
            <w:noProof/>
          </w:rPr>
          <w:t>Proposal 7</w:t>
        </w:r>
        <w:r>
          <w:rPr>
            <w:rFonts w:asciiTheme="minorHAnsi" w:eastAsiaTheme="minorEastAsia" w:hAnsiTheme="minorHAnsi"/>
            <w:b w:val="0"/>
            <w:noProof/>
            <w:sz w:val="22"/>
            <w:lang w:val="sv-SE" w:eastAsia="sv-SE"/>
          </w:rPr>
          <w:tab/>
        </w:r>
        <w:r w:rsidRPr="00597918">
          <w:rPr>
            <w:rStyle w:val="Hyperlink"/>
            <w:noProof/>
          </w:rPr>
          <w:t>As a general principle, which can be seen as the default scenario, if support of a legacy feature is not explicitly precluded by the WID or other agreements, and there are no convincing technical reasons to preclude a RedCap UE from supporting the feature, then the legacy feature can remain applicable for RedCap UEs.</w:t>
        </w:r>
      </w:hyperlink>
    </w:p>
    <w:p w14:paraId="71D79D99" w14:textId="3107B026" w:rsidR="00F507D1" w:rsidRPr="00CE0424" w:rsidRDefault="00D729B7" w:rsidP="00CA23C5">
      <w:pPr>
        <w:pStyle w:val="Heading1"/>
        <w:jc w:val="both"/>
      </w:pPr>
      <w:r>
        <w:rPr>
          <w:b/>
          <w:bCs/>
        </w:rPr>
        <w:fldChar w:fldCharType="end"/>
      </w:r>
      <w:r w:rsidR="00F507D1" w:rsidRPr="00CE0424">
        <w:t>References</w:t>
      </w:r>
    </w:p>
    <w:bookmarkStart w:id="10" w:name="_Ref65143491"/>
    <w:bookmarkStart w:id="11" w:name="_Ref71040330"/>
    <w:bookmarkStart w:id="12" w:name="_Ref174151459"/>
    <w:bookmarkStart w:id="13" w:name="_Ref189809556"/>
    <w:p w14:paraId="67A2B561" w14:textId="55EFAD8C" w:rsidR="00653DA9" w:rsidRDefault="00D03A34" w:rsidP="00CA23C5">
      <w:pPr>
        <w:pStyle w:val="Reference"/>
      </w:pPr>
      <w:r>
        <w:fldChar w:fldCharType="begin"/>
      </w:r>
      <w:r>
        <w:instrText>HYPERLINK "https://www.3gpp.org/ftp/TSG_RAN/TSG_RAN/TSGR_92e/Docs/RP-211574.zip"</w:instrText>
      </w:r>
      <w:r>
        <w:fldChar w:fldCharType="separate"/>
      </w:r>
      <w:r>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w:t>
      </w:r>
      <w:bookmarkEnd w:id="10"/>
      <w:bookmarkEnd w:id="11"/>
    </w:p>
    <w:bookmarkStart w:id="14" w:name="_Ref83720302"/>
    <w:bookmarkStart w:id="15" w:name="_Ref83735507"/>
    <w:bookmarkStart w:id="16" w:name="_Ref83717123"/>
    <w:p w14:paraId="351EB23B" w14:textId="3A42B602" w:rsidR="00005FE0" w:rsidRDefault="00005FE0" w:rsidP="00CA23C5">
      <w:pPr>
        <w:pStyle w:val="Reference"/>
      </w:pPr>
      <w:r>
        <w:fldChar w:fldCharType="begin"/>
      </w:r>
      <w:r>
        <w:instrText xml:space="preserve"> HYPERLINK "https://www.3gpp.org/ftp/Specs/archive/38_series/38.306/38306-g60.zip" </w:instrText>
      </w:r>
      <w:r>
        <w:fldChar w:fldCharType="separate"/>
      </w:r>
      <w:r w:rsidRPr="007909CC">
        <w:rPr>
          <w:rStyle w:val="Hyperlink"/>
        </w:rPr>
        <w:t>TS 38.306 V16.6.0</w:t>
      </w:r>
      <w:r>
        <w:fldChar w:fldCharType="end"/>
      </w:r>
      <w:r>
        <w:t>, “</w:t>
      </w:r>
      <w:r w:rsidRPr="007909CC">
        <w:t>NR; User Equipment (UE) radio access capabilities</w:t>
      </w:r>
      <w:r>
        <w:t>”</w:t>
      </w:r>
      <w:bookmarkEnd w:id="14"/>
    </w:p>
    <w:bookmarkStart w:id="17" w:name="_Ref86964538"/>
    <w:p w14:paraId="75A8428B" w14:textId="6802A78A" w:rsidR="00005FE0" w:rsidRDefault="00005FE0" w:rsidP="00CA23C5">
      <w:pPr>
        <w:pStyle w:val="Reference"/>
      </w:pPr>
      <w:r>
        <w:fldChar w:fldCharType="begin"/>
      </w:r>
      <w:r>
        <w:instrText xml:space="preserve"> HYPERLINK "https://www.3gpp.org/ftp/Specs/archive/38_series/38.822/38822-g10.zip" </w:instrText>
      </w:r>
      <w:r>
        <w:fldChar w:fldCharType="separate"/>
      </w:r>
      <w:r w:rsidRPr="00FA457B">
        <w:rPr>
          <w:rStyle w:val="Hyperlink"/>
        </w:rPr>
        <w:t>TR 38.822 V16.1.0</w:t>
      </w:r>
      <w:r>
        <w:fldChar w:fldCharType="end"/>
      </w:r>
      <w:r>
        <w:t>, “</w:t>
      </w:r>
      <w:r w:rsidRPr="00FA457B">
        <w:t>NR; User Equipment (UE) feature list</w:t>
      </w:r>
      <w:r>
        <w:t>”</w:t>
      </w:r>
      <w:bookmarkEnd w:id="17"/>
    </w:p>
    <w:bookmarkStart w:id="18" w:name="_Ref86964547"/>
    <w:p w14:paraId="119F209C" w14:textId="65EB9965" w:rsidR="00F81C39" w:rsidRDefault="00F81C39" w:rsidP="00CA23C5">
      <w:pPr>
        <w:pStyle w:val="Reference"/>
      </w:pPr>
      <w:r w:rsidRPr="00F81C39">
        <w:fldChar w:fldCharType="begin"/>
      </w:r>
      <w:r w:rsidRPr="00F81C39">
        <w:instrText xml:space="preserve"> HYPERLINK "http://www.3gpp.org/ftp/tsg_ran/WG2_RL2/TSGR2_109_e/Docs/R2-2002378.zip" \o "http://www.3gpp.org/ftp/tsg_ran/wg2_rl2/tsgr2_109_e/docs/r2-2002378.zip" \t "_blank" </w:instrText>
      </w:r>
      <w:r w:rsidRPr="00F81C39">
        <w:fldChar w:fldCharType="separate"/>
      </w:r>
      <w:r w:rsidRPr="00F81C39">
        <w:rPr>
          <w:rStyle w:val="Hyperlink"/>
        </w:rPr>
        <w:t>R2-2002378</w:t>
      </w:r>
      <w:r w:rsidRPr="00F81C39">
        <w:fldChar w:fldCharType="end"/>
      </w:r>
      <w:r>
        <w:t>, “Guidelines for UE capability definitions”, RAN2</w:t>
      </w:r>
      <w:bookmarkEnd w:id="15"/>
      <w:bookmarkEnd w:id="18"/>
    </w:p>
    <w:bookmarkStart w:id="19" w:name="_Ref84039460"/>
    <w:p w14:paraId="2E3F3282" w14:textId="779B15B1" w:rsidR="00B3704C" w:rsidRDefault="00B3704C" w:rsidP="00CA23C5">
      <w:pPr>
        <w:pStyle w:val="Reference"/>
      </w:pPr>
      <w:r>
        <w:fldChar w:fldCharType="begin"/>
      </w:r>
      <w:r>
        <w:instrText xml:space="preserve"> HYPERLINK "https://www.3gpp.org/ftp/tsg_ran/WG2_RL2/TSGR2_107bis/LSout/R2-1913997.zip" </w:instrText>
      </w:r>
      <w:r>
        <w:fldChar w:fldCharType="separate"/>
      </w:r>
      <w:r w:rsidRPr="00B3704C">
        <w:rPr>
          <w:rStyle w:val="Hyperlink"/>
        </w:rPr>
        <w:t>R2-1913997</w:t>
      </w:r>
      <w:r>
        <w:fldChar w:fldCharType="end"/>
      </w:r>
      <w:r>
        <w:t>, “</w:t>
      </w:r>
      <w:r>
        <w:rPr>
          <w:rFonts w:cs="Arial"/>
          <w:bCs/>
        </w:rPr>
        <w:t>LS on UE feature list format for Release-16 UE capability</w:t>
      </w:r>
      <w:r>
        <w:t>”, RAN2</w:t>
      </w:r>
      <w:bookmarkEnd w:id="19"/>
    </w:p>
    <w:bookmarkStart w:id="20" w:name="_Ref84039461"/>
    <w:p w14:paraId="7040B7B7" w14:textId="71633201" w:rsidR="001A1B39" w:rsidRDefault="00B3704C" w:rsidP="00CA23C5">
      <w:pPr>
        <w:pStyle w:val="Reference"/>
      </w:pPr>
      <w:r>
        <w:fldChar w:fldCharType="begin"/>
      </w:r>
      <w:r>
        <w:instrText xml:space="preserve"> HYPERLINK "https://www.3gpp.org/ftp/tsg_ran/WG2_RL2/TSGR2_107/LSout/R2-1911858.zip" </w:instrText>
      </w:r>
      <w:r>
        <w:fldChar w:fldCharType="separate"/>
      </w:r>
      <w:r w:rsidR="001A1B39" w:rsidRPr="00B3704C">
        <w:rPr>
          <w:rStyle w:val="Hyperlink"/>
        </w:rPr>
        <w:t>R2-1911858</w:t>
      </w:r>
      <w:r>
        <w:fldChar w:fldCharType="end"/>
      </w:r>
      <w:r w:rsidR="001A1B39">
        <w:t>, “</w:t>
      </w:r>
      <w:r w:rsidRPr="00B3704C">
        <w:t>LS on ambiguity of UE L1 FDD/TDD FR1/FR2 capabilities</w:t>
      </w:r>
      <w:r w:rsidR="001A1B39">
        <w:t>”</w:t>
      </w:r>
      <w:r>
        <w:t>, RAN2</w:t>
      </w:r>
      <w:bookmarkEnd w:id="20"/>
    </w:p>
    <w:bookmarkStart w:id="21" w:name="_Ref83735859"/>
    <w:p w14:paraId="71A06CDD" w14:textId="5E5A1B1B" w:rsidR="00A009B0" w:rsidRDefault="00481BE4" w:rsidP="00CA23C5">
      <w:pPr>
        <w:pStyle w:val="Reference"/>
      </w:pPr>
      <w:r>
        <w:fldChar w:fldCharType="begin"/>
      </w:r>
      <w:r>
        <w:instrText>HYPERLINK "https://www.3gpp.org/ftp/tsg_ran/WG1_RL1/TSGR1_106b-e/Docs/R1-2110669.zip"</w:instrText>
      </w:r>
      <w:r>
        <w:fldChar w:fldCharType="separate"/>
      </w:r>
      <w:r>
        <w:rPr>
          <w:rStyle w:val="Hyperlink"/>
        </w:rPr>
        <w:t>R1-2110669</w:t>
      </w:r>
      <w:r>
        <w:fldChar w:fldCharType="end"/>
      </w:r>
      <w:r w:rsidR="00A009B0">
        <w:t>, “</w:t>
      </w:r>
      <w:r w:rsidR="00A009B0" w:rsidRPr="00A009B0">
        <w:t>RAN1 agreements for Rel-17 NR RedCap</w:t>
      </w:r>
      <w:r w:rsidR="00A009B0">
        <w:t>”, Rapporteur (Ericsson)</w:t>
      </w:r>
      <w:bookmarkEnd w:id="16"/>
      <w:bookmarkEnd w:id="21"/>
    </w:p>
    <w:bookmarkStart w:id="22" w:name="_Ref86947365"/>
    <w:bookmarkStart w:id="23" w:name="_Ref83116980"/>
    <w:p w14:paraId="78711EA3" w14:textId="355DD9D9" w:rsidR="00042A32" w:rsidRDefault="00042A32" w:rsidP="00CA23C5">
      <w:pPr>
        <w:pStyle w:val="Reference"/>
      </w:pPr>
      <w:r>
        <w:fldChar w:fldCharType="begin"/>
      </w:r>
      <w:r>
        <w:instrText xml:space="preserve"> HYPERLINK "https://www.3gpp.org/ftp/tsg_ran/WG1_RL1/TSGR1_106b-e/Docs/R1-2109711.zip" </w:instrText>
      </w:r>
      <w:r>
        <w:fldChar w:fldCharType="separate"/>
      </w:r>
      <w:r w:rsidRPr="00167F32">
        <w:rPr>
          <w:rStyle w:val="Hyperlink"/>
        </w:rPr>
        <w:t>R1-2109711</w:t>
      </w:r>
      <w:r>
        <w:fldChar w:fldCharType="end"/>
      </w:r>
      <w:r>
        <w:t>, “</w:t>
      </w:r>
      <w:r w:rsidRPr="00167F32">
        <w:t>Summary on UE features for REDCAP</w:t>
      </w:r>
      <w:r>
        <w:t xml:space="preserve">”, </w:t>
      </w:r>
      <w:r w:rsidRPr="00167F32">
        <w:t>Moderator (NTT DOCOMO)</w:t>
      </w:r>
      <w:bookmarkEnd w:id="22"/>
    </w:p>
    <w:bookmarkStart w:id="24" w:name="_Ref86947311"/>
    <w:p w14:paraId="743E95BC" w14:textId="55053114" w:rsidR="00A27230" w:rsidRDefault="00A27230" w:rsidP="00CA23C5">
      <w:pPr>
        <w:pStyle w:val="Reference"/>
      </w:pPr>
      <w:r>
        <w:fldChar w:fldCharType="begin"/>
      </w:r>
      <w:r>
        <w:instrText xml:space="preserve"> HYPERLINK "https://www.3gpp.org/ftp/tsg_ran/WG1_RL1/TSGR1_106b-e/Docs/R1-2110587.zip" </w:instrText>
      </w:r>
      <w:r>
        <w:fldChar w:fldCharType="separate"/>
      </w:r>
      <w:r w:rsidRPr="00602626">
        <w:rPr>
          <w:rStyle w:val="Hyperlink"/>
        </w:rPr>
        <w:t>R1-2110587</w:t>
      </w:r>
      <w:r>
        <w:fldChar w:fldCharType="end"/>
      </w:r>
      <w:r>
        <w:t>, “Updated RAN1 UE features list for Rel-17 NR after RAN1 #106bis-e”, Moderators (AT&amp;T, NTT DOCOMO, INC.)</w:t>
      </w:r>
      <w:bookmarkEnd w:id="24"/>
    </w:p>
    <w:bookmarkStart w:id="25" w:name="_Ref86873143"/>
    <w:bookmarkEnd w:id="12"/>
    <w:bookmarkEnd w:id="13"/>
    <w:bookmarkEnd w:id="23"/>
    <w:p w14:paraId="369D5A4C" w14:textId="671BE83E" w:rsidR="00F44FD8" w:rsidRDefault="00455343" w:rsidP="00CA23C5">
      <w:pPr>
        <w:pStyle w:val="Reference"/>
      </w:pPr>
      <w:r w:rsidRPr="00455343">
        <w:rPr>
          <w:lang w:val="sv-SE"/>
        </w:rPr>
        <w:fldChar w:fldCharType="begin"/>
      </w:r>
      <w:r w:rsidRPr="00B1719B">
        <w:instrText xml:space="preserve"> HYPERLINK "https://www.3gpp.org/ftp/tsg_ran/WG1_RL1/TSGR1_106b-e/Docs/R1-2108714.zip" </w:instrText>
      </w:r>
      <w:r w:rsidR="00DC1F85" w:rsidRPr="00455343">
        <w:rPr>
          <w:lang w:val="sv-SE"/>
        </w:rPr>
      </w:r>
      <w:r w:rsidRPr="00455343">
        <w:rPr>
          <w:lang w:val="sv-SE"/>
        </w:rPr>
        <w:fldChar w:fldCharType="separate"/>
      </w:r>
      <w:r w:rsidRPr="00455343">
        <w:rPr>
          <w:rStyle w:val="Hyperlink"/>
        </w:rPr>
        <w:t>R1-2108714</w:t>
      </w:r>
      <w:r w:rsidRPr="00455343">
        <w:fldChar w:fldCharType="end"/>
      </w:r>
      <w:r w:rsidRPr="00455343">
        <w:t>, “LS on capability related RAN2 agreements for RedCap”, RAN</w:t>
      </w:r>
      <w:r>
        <w:t>2</w:t>
      </w:r>
      <w:bookmarkEnd w:id="25"/>
    </w:p>
    <w:bookmarkStart w:id="26" w:name="_Ref86947682"/>
    <w:p w14:paraId="6A2AE1A0" w14:textId="4DEA4E12" w:rsidR="00005FE0" w:rsidRDefault="00F44FD8" w:rsidP="00CA23C5">
      <w:pPr>
        <w:pStyle w:val="Reference"/>
      </w:pPr>
      <w:r>
        <w:fldChar w:fldCharType="begin"/>
      </w:r>
      <w:r>
        <w:instrText xml:space="preserve"> HYPERLINK "https://www.3gpp.org/ftp/tsg_ran/WG1_RL1/TSGR1_106b-e/Docs/R1-2110382.zip" </w:instrText>
      </w:r>
      <w:r>
        <w:fldChar w:fldCharType="separate"/>
      </w:r>
      <w:r w:rsidRPr="00F44FD8">
        <w:rPr>
          <w:rStyle w:val="Hyperlink"/>
        </w:rPr>
        <w:t>R1-2110382</w:t>
      </w:r>
      <w:r>
        <w:fldChar w:fldCharType="end"/>
      </w:r>
      <w:r>
        <w:t>, “</w:t>
      </w:r>
      <w:r w:rsidRPr="00F44FD8">
        <w:t>FL summary on incoming LS on capability related RAN2 agreements for RedCap</w:t>
      </w:r>
      <w:r>
        <w:t xml:space="preserve">”, </w:t>
      </w:r>
      <w:r w:rsidRPr="00F44FD8">
        <w:t>Moderator (Ericsson)</w:t>
      </w:r>
      <w:bookmarkEnd w:id="26"/>
    </w:p>
    <w:bookmarkStart w:id="27" w:name="_Ref83123728"/>
    <w:p w14:paraId="7F43247C" w14:textId="42D58605" w:rsidR="00994749" w:rsidRPr="00994749" w:rsidRDefault="00994749" w:rsidP="00CA23C5">
      <w:pPr>
        <w:pStyle w:val="Reference"/>
      </w:pPr>
      <w:r w:rsidRPr="00994749">
        <w:fldChar w:fldCharType="begin"/>
      </w:r>
      <w:r w:rsidRPr="00994749">
        <w:instrText xml:space="preserve"> HYPERLINK "https://www.3gpp.org/ftp/tsg_ran/TSG_RAN/TSGR_93e/Docs/RP-212634.zip" </w:instrText>
      </w:r>
      <w:r w:rsidRPr="00994749">
        <w:fldChar w:fldCharType="separate"/>
      </w:r>
      <w:r w:rsidRPr="00994749">
        <w:rPr>
          <w:rStyle w:val="Hyperlink"/>
        </w:rPr>
        <w:t>RP-212634</w:t>
      </w:r>
      <w:r w:rsidRPr="00994749">
        <w:fldChar w:fldCharType="end"/>
      </w:r>
      <w:r w:rsidRPr="00994749">
        <w:t xml:space="preserve">, </w:t>
      </w:r>
      <w:r>
        <w:t>“</w:t>
      </w:r>
      <w:r w:rsidRPr="00994749">
        <w:t>Moderator's summary for discussion [93e-16-RedCap-WI]</w:t>
      </w:r>
      <w:r>
        <w:t>”</w:t>
      </w:r>
      <w:r w:rsidRPr="00994749">
        <w:t>, Intel</w:t>
      </w:r>
      <w:bookmarkEnd w:id="27"/>
    </w:p>
    <w:p w14:paraId="437A9EC8" w14:textId="500DA5C5" w:rsidR="00F44FD8" w:rsidRPr="003B64BB" w:rsidRDefault="00F44FD8" w:rsidP="00994749">
      <w:pPr>
        <w:pStyle w:val="Reference"/>
        <w:numPr>
          <w:ilvl w:val="0"/>
          <w:numId w:val="0"/>
        </w:numPr>
        <w:ind w:left="567"/>
        <w:jc w:val="left"/>
        <w:sectPr w:rsidR="00F44FD8" w:rsidRPr="003B64BB">
          <w:headerReference w:type="even" r:id="rId11"/>
          <w:footerReference w:type="default" r:id="rId12"/>
          <w:footnotePr>
            <w:numRestart w:val="eachSect"/>
          </w:footnotePr>
          <w:pgSz w:w="11907" w:h="16840" w:code="9"/>
          <w:pgMar w:top="1418" w:right="1134" w:bottom="1134" w:left="1134" w:header="680" w:footer="567" w:gutter="0"/>
          <w:cols w:space="720"/>
        </w:sectPr>
      </w:pPr>
    </w:p>
    <w:p w14:paraId="710A0CC8" w14:textId="60EFF5FD" w:rsidR="00C1462B" w:rsidRPr="00CE0424" w:rsidRDefault="00C1462B" w:rsidP="00C1462B">
      <w:pPr>
        <w:pStyle w:val="Heading1"/>
      </w:pPr>
      <w:r>
        <w:lastRenderedPageBreak/>
        <w:t xml:space="preserve">Annex: Extract from RAN1 UE feature list for Rel-17 NR </w:t>
      </w:r>
      <w:r w:rsidR="00042A32">
        <w:fldChar w:fldCharType="begin"/>
      </w:r>
      <w:r w:rsidR="00042A32">
        <w:instrText xml:space="preserve"> REF _Ref86947311 \r \h </w:instrText>
      </w:r>
      <w:r w:rsidR="00042A32">
        <w:fldChar w:fldCharType="separate"/>
      </w:r>
      <w:r w:rsidR="004667B6">
        <w:t>[9]</w:t>
      </w:r>
      <w:r w:rsidR="00042A32">
        <w:fldChar w:fldCharType="end"/>
      </w:r>
    </w:p>
    <w:p w14:paraId="5EE25B04" w14:textId="3D5697F1" w:rsidR="00E07BE2" w:rsidRPr="00E07BE2" w:rsidRDefault="00BC699B" w:rsidP="00E07BE2">
      <w:pPr>
        <w:keepNext/>
        <w:keepLines/>
        <w:numPr>
          <w:ilvl w:val="0"/>
          <w:numId w:val="31"/>
        </w:numPr>
        <w:tabs>
          <w:tab w:val="left" w:pos="426"/>
        </w:tabs>
        <w:overflowPunct w:val="0"/>
        <w:autoSpaceDE w:val="0"/>
        <w:autoSpaceDN w:val="0"/>
        <w:adjustRightInd w:val="0"/>
        <w:spacing w:after="120" w:line="240" w:lineRule="auto"/>
        <w:jc w:val="both"/>
        <w:textAlignment w:val="baseline"/>
        <w:outlineLvl w:val="0"/>
        <w:rPr>
          <w:rFonts w:eastAsia="Batang" w:cs="Times New Roman"/>
          <w:sz w:val="32"/>
          <w:szCs w:val="32"/>
          <w:lang w:eastAsia="ko-KR"/>
        </w:rPr>
      </w:pPr>
      <w:r w:rsidRPr="00BC699B">
        <w:rPr>
          <w:rFonts w:eastAsia="Batang" w:cs="Times New Roman"/>
          <w:sz w:val="32"/>
          <w:szCs w:val="32"/>
          <w:lang w:eastAsia="ko-KR"/>
        </w:rPr>
        <w:t>NR_redcap</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7BE2" w:rsidRPr="00E07BE2" w14:paraId="604982C1" w14:textId="77777777" w:rsidTr="00B20E7F">
        <w:trPr>
          <w:trHeight w:val="20"/>
        </w:trPr>
        <w:tc>
          <w:tcPr>
            <w:tcW w:w="1130" w:type="dxa"/>
            <w:tcBorders>
              <w:top w:val="single" w:sz="4" w:space="0" w:color="auto"/>
              <w:left w:val="single" w:sz="4" w:space="0" w:color="auto"/>
              <w:bottom w:val="single" w:sz="4" w:space="0" w:color="auto"/>
              <w:right w:val="single" w:sz="4" w:space="0" w:color="auto"/>
            </w:tcBorders>
            <w:hideMark/>
          </w:tcPr>
          <w:p w14:paraId="2CCA995F"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736AA115"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CB29F15"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B8DDD97"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1C7AD874"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FCE9184"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2B13159"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Gulim" w:cs="Arial"/>
                <w:b/>
                <w:color w:val="000000"/>
                <w:sz w:val="18"/>
                <w:szCs w:val="18"/>
                <w:lang w:val="en-GB" w:eastAsia="ja-JP"/>
              </w:rPr>
              <w:t xml:space="preserve">Applicable to </w:t>
            </w:r>
            <w:r w:rsidRPr="00E07BE2">
              <w:rPr>
                <w:rFonts w:eastAsia="Times New Roman" w:cs="Arial"/>
                <w:b/>
                <w:color w:val="000000"/>
                <w:sz w:val="18"/>
                <w:szCs w:val="18"/>
                <w:lang w:val="en-GB" w:eastAsia="ja-JP"/>
              </w:rPr>
              <w:t>the capability signalling exchange between UEs (</w:t>
            </w:r>
            <w:proofErr w:type="spellStart"/>
            <w:r w:rsidRPr="00E07BE2">
              <w:rPr>
                <w:rFonts w:eastAsia="Times New Roman" w:cs="Arial"/>
                <w:b/>
                <w:color w:val="000000"/>
                <w:sz w:val="18"/>
                <w:szCs w:val="18"/>
                <w:lang w:val="en-GB" w:eastAsia="ja-JP"/>
              </w:rPr>
              <w:t>Sidelink</w:t>
            </w:r>
            <w:proofErr w:type="spellEnd"/>
            <w:r w:rsidRPr="00E07BE2">
              <w:rPr>
                <w:rFonts w:eastAsia="Times New Roman"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2BEE63F" w14:textId="77777777" w:rsidR="00E07BE2" w:rsidRPr="00E07BE2" w:rsidRDefault="00E07BE2" w:rsidP="00E07BE2">
            <w:pPr>
              <w:keepNext/>
              <w:keepLines/>
              <w:spacing w:after="0" w:line="240" w:lineRule="auto"/>
              <w:rPr>
                <w:rFonts w:eastAsia="SimSun" w:cs="Arial"/>
                <w:b/>
                <w:sz w:val="18"/>
                <w:szCs w:val="18"/>
                <w:lang w:val="en-GB" w:eastAsia="ja-JP"/>
              </w:rPr>
            </w:pPr>
            <w:r w:rsidRPr="00E07BE2">
              <w:rPr>
                <w:rFonts w:eastAsia="SimSun"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093BA3A" w14:textId="77777777" w:rsidR="00E07BE2" w:rsidRPr="00E07BE2" w:rsidRDefault="00E07BE2" w:rsidP="00E07BE2">
            <w:pPr>
              <w:keepNext/>
              <w:keepLines/>
              <w:spacing w:after="0" w:line="240" w:lineRule="auto"/>
              <w:rPr>
                <w:rFonts w:eastAsia="SimSun" w:cs="Arial"/>
                <w:b/>
                <w:sz w:val="18"/>
                <w:szCs w:val="18"/>
                <w:lang w:val="en-GB" w:eastAsia="ja-JP"/>
              </w:rPr>
            </w:pPr>
            <w:r w:rsidRPr="00E07BE2">
              <w:rPr>
                <w:rFonts w:eastAsia="SimSun" w:cs="Arial"/>
                <w:b/>
                <w:sz w:val="18"/>
                <w:szCs w:val="18"/>
                <w:lang w:val="en-GB" w:eastAsia="ja-JP"/>
              </w:rPr>
              <w:t>Type</w:t>
            </w:r>
          </w:p>
          <w:p w14:paraId="6E5C3DE1" w14:textId="77777777" w:rsidR="00E07BE2" w:rsidRPr="00E07BE2" w:rsidRDefault="00E07BE2" w:rsidP="00E07BE2">
            <w:pPr>
              <w:keepNext/>
              <w:keepLines/>
              <w:spacing w:after="0" w:line="240" w:lineRule="auto"/>
              <w:rPr>
                <w:rFonts w:eastAsia="SimSun" w:cs="Arial"/>
                <w:b/>
                <w:sz w:val="18"/>
                <w:szCs w:val="18"/>
                <w:lang w:val="en-GB" w:eastAsia="ja-JP"/>
              </w:rPr>
            </w:pPr>
            <w:r w:rsidRPr="00E07BE2">
              <w:rPr>
                <w:rFonts w:eastAsia="SimSun"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3BEC66A"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CEBD15"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3889AD"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A066A6A"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632D6A07" w14:textId="77777777" w:rsidR="00E07BE2" w:rsidRPr="00E07BE2" w:rsidRDefault="00E07BE2" w:rsidP="00E07BE2">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E07BE2">
              <w:rPr>
                <w:rFonts w:eastAsia="Times New Roman" w:cs="Arial"/>
                <w:b/>
                <w:sz w:val="18"/>
                <w:szCs w:val="18"/>
                <w:lang w:val="en-GB" w:eastAsia="ja-JP"/>
              </w:rPr>
              <w:t>Mandatory/Optional</w:t>
            </w:r>
          </w:p>
        </w:tc>
      </w:tr>
      <w:tr w:rsidR="00E07BE2" w:rsidRPr="00E07BE2" w14:paraId="7F3B31C0" w14:textId="77777777" w:rsidTr="00B20E7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2A1BBF"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 xml:space="preserve"> 28.</w:t>
            </w:r>
            <w:r w:rsidRPr="00E07BE2">
              <w:rPr>
                <w:rFonts w:eastAsia="SimSun" w:cs="Times New Roman"/>
                <w:sz w:val="18"/>
                <w:szCs w:val="20"/>
                <w:lang w:val="en-GB"/>
              </w:rPr>
              <w:t xml:space="preserve"> </w:t>
            </w:r>
            <w:r w:rsidRPr="00E07BE2">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0D777556"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3ADD1CF7" w14:textId="77777777" w:rsidR="00E07BE2" w:rsidRPr="00E07BE2" w:rsidRDefault="00E07BE2" w:rsidP="00E07BE2">
            <w:pPr>
              <w:keepNext/>
              <w:keepLines/>
              <w:spacing w:after="0" w:line="240" w:lineRule="auto"/>
              <w:rPr>
                <w:rFonts w:eastAsia="SimSun" w:cs="Arial"/>
                <w:sz w:val="18"/>
                <w:szCs w:val="18"/>
                <w:lang w:val="en-GB" w:eastAsia="zh-CN"/>
              </w:rPr>
            </w:pPr>
            <w:r w:rsidRPr="00E07BE2">
              <w:rPr>
                <w:rFonts w:eastAsia="SimSun" w:cs="Arial"/>
                <w:sz w:val="18"/>
                <w:szCs w:val="18"/>
                <w:lang w:val="en-GB"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FACF676" w14:textId="77777777" w:rsidR="00E07BE2" w:rsidRPr="00E07BE2" w:rsidRDefault="00E07BE2" w:rsidP="00E07BE2">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E07BE2">
              <w:rPr>
                <w:rFonts w:eastAsia="MS Gothic" w:cs="Arial"/>
                <w:sz w:val="18"/>
                <w:szCs w:val="18"/>
                <w:lang w:val="en-GB" w:eastAsia="ja-JP"/>
              </w:rPr>
              <w:t xml:space="preserve">1. Maximum FR1 RedCap UE bandwidth is 20 </w:t>
            </w:r>
            <w:proofErr w:type="spellStart"/>
            <w:r w:rsidRPr="00E07BE2">
              <w:rPr>
                <w:rFonts w:eastAsia="MS Gothic" w:cs="Arial"/>
                <w:sz w:val="18"/>
                <w:szCs w:val="18"/>
                <w:lang w:val="en-GB" w:eastAsia="ja-JP"/>
              </w:rPr>
              <w:t>MHz.</w:t>
            </w:r>
            <w:proofErr w:type="spellEnd"/>
          </w:p>
          <w:p w14:paraId="3977F8B1" w14:textId="77777777" w:rsidR="00E07BE2" w:rsidRPr="00E07BE2" w:rsidRDefault="00E07BE2" w:rsidP="00E07BE2">
            <w:pPr>
              <w:autoSpaceDE w:val="0"/>
              <w:autoSpaceDN w:val="0"/>
              <w:adjustRightInd w:val="0"/>
              <w:snapToGrid w:val="0"/>
              <w:spacing w:after="0" w:line="240" w:lineRule="auto"/>
              <w:contextualSpacing/>
              <w:jc w:val="both"/>
              <w:rPr>
                <w:rFonts w:eastAsia="MS Gothic" w:cs="Arial"/>
                <w:sz w:val="18"/>
                <w:szCs w:val="18"/>
                <w:lang w:val="en-GB" w:eastAsia="ja-JP"/>
              </w:rPr>
            </w:pPr>
            <w:r w:rsidRPr="00E07BE2">
              <w:rPr>
                <w:rFonts w:eastAsia="MS Gothic" w:cs="Arial"/>
                <w:sz w:val="18"/>
                <w:szCs w:val="18"/>
                <w:lang w:val="en-GB" w:eastAsia="ja-JP"/>
              </w:rPr>
              <w:t xml:space="preserve">2. Maximum FR2 RedCap UE bandwidth is 100 </w:t>
            </w:r>
            <w:proofErr w:type="spellStart"/>
            <w:r w:rsidRPr="00E07BE2">
              <w:rPr>
                <w:rFonts w:eastAsia="MS Gothic" w:cs="Arial"/>
                <w:sz w:val="18"/>
                <w:szCs w:val="18"/>
                <w:lang w:val="en-GB" w:eastAsia="ja-JP"/>
              </w:rPr>
              <w:t>MHz.</w:t>
            </w:r>
            <w:proofErr w:type="spellEnd"/>
          </w:p>
          <w:p w14:paraId="4A8C6063" w14:textId="77777777" w:rsidR="00E07BE2" w:rsidRPr="00E07BE2" w:rsidRDefault="00E07BE2" w:rsidP="00E07BE2">
            <w:pPr>
              <w:autoSpaceDE w:val="0"/>
              <w:autoSpaceDN w:val="0"/>
              <w:adjustRightInd w:val="0"/>
              <w:snapToGrid w:val="0"/>
              <w:spacing w:after="0" w:line="240" w:lineRule="auto"/>
              <w:contextualSpacing/>
              <w:jc w:val="both"/>
              <w:rPr>
                <w:rFonts w:eastAsia="MS Gothic" w:cs="Arial"/>
                <w:sz w:val="18"/>
                <w:szCs w:val="18"/>
                <w:lang w:val="en-GB" w:eastAsia="ja-JP"/>
              </w:rPr>
            </w:pPr>
            <w:r w:rsidRPr="00E07BE2">
              <w:rPr>
                <w:rFonts w:eastAsia="MS Gothic" w:cs="Arial"/>
                <w:sz w:val="18"/>
                <w:szCs w:val="18"/>
                <w:highlight w:val="yellow"/>
                <w:lang w:val="en-GB" w:eastAsia="ja-JP"/>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065A97C0" w14:textId="77777777" w:rsidR="00E07BE2" w:rsidRPr="00E07BE2" w:rsidRDefault="00E07BE2" w:rsidP="00E07BE2">
            <w:pPr>
              <w:keepNext/>
              <w:keepLines/>
              <w:spacing w:after="0" w:line="240" w:lineRule="auto"/>
              <w:rPr>
                <w:rFonts w:eastAsia="MS Mincho"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5C7C55CC" w14:textId="77777777" w:rsidR="00E07BE2" w:rsidRPr="00E07BE2" w:rsidRDefault="00E07BE2" w:rsidP="00E07BE2">
            <w:pPr>
              <w:keepNext/>
              <w:keepLines/>
              <w:spacing w:after="0" w:line="240" w:lineRule="auto"/>
              <w:rPr>
                <w:rFonts w:eastAsia="SimSun" w:cs="Arial"/>
                <w:sz w:val="18"/>
                <w:szCs w:val="18"/>
                <w:lang w:val="en-GB" w:eastAsia="zh-CN"/>
              </w:rPr>
            </w:pPr>
            <w:r w:rsidRPr="00E07BE2">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28F46407" w14:textId="77777777" w:rsidR="00E07BE2" w:rsidRPr="00E07BE2" w:rsidRDefault="00E07BE2" w:rsidP="00E07BE2">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2AE301E" w14:textId="77777777" w:rsidR="00E07BE2" w:rsidRPr="00E07BE2" w:rsidRDefault="00E07BE2" w:rsidP="00E07BE2">
            <w:pPr>
              <w:keepNext/>
              <w:keepLines/>
              <w:spacing w:after="0" w:line="240" w:lineRule="auto"/>
              <w:rPr>
                <w:rFonts w:eastAsia="SimSun" w:cs="Arial"/>
                <w:sz w:val="18"/>
                <w:szCs w:val="18"/>
                <w:lang w:eastAsia="zh-CN"/>
              </w:rPr>
            </w:pPr>
            <w:r w:rsidRPr="00E07BE2">
              <w:rPr>
                <w:rFonts w:eastAsia="SimSun" w:cs="Arial"/>
                <w:sz w:val="18"/>
                <w:szCs w:val="18"/>
                <w:lang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F78C4FE" w14:textId="77777777" w:rsidR="00E07BE2" w:rsidRPr="00E07BE2" w:rsidRDefault="00E07BE2" w:rsidP="00E07BE2">
            <w:pPr>
              <w:keepNext/>
              <w:keepLines/>
              <w:spacing w:after="0" w:line="240" w:lineRule="auto"/>
              <w:rPr>
                <w:rFonts w:eastAsia="SimSun" w:cs="Arial"/>
                <w:sz w:val="18"/>
                <w:szCs w:val="18"/>
                <w:lang w:val="en-GB" w:eastAsia="zh-CN"/>
              </w:rPr>
            </w:pPr>
            <w:r w:rsidRPr="00E07BE2">
              <w:rPr>
                <w:rFonts w:eastAsia="SimSun"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72A12CC"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42003BC"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tcPr>
          <w:p w14:paraId="4B3C2527" w14:textId="77777777" w:rsidR="00E07BE2" w:rsidRPr="00E07BE2" w:rsidRDefault="00E07BE2" w:rsidP="00E07BE2">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D6A2B8C"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RedCap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1586A8" w14:textId="77777777" w:rsidR="00E07BE2" w:rsidRPr="00E07BE2" w:rsidRDefault="00E07BE2" w:rsidP="00E07BE2">
            <w:pPr>
              <w:keepNext/>
              <w:keepLines/>
              <w:spacing w:after="0" w:line="240" w:lineRule="auto"/>
              <w:rPr>
                <w:rFonts w:eastAsia="SimSun" w:cs="Arial"/>
                <w:sz w:val="18"/>
                <w:szCs w:val="18"/>
                <w:lang w:eastAsia="ja-JP"/>
              </w:rPr>
            </w:pPr>
            <w:r w:rsidRPr="00E07BE2">
              <w:rPr>
                <w:rFonts w:eastAsia="SimSun" w:cs="Arial"/>
                <w:sz w:val="18"/>
                <w:szCs w:val="18"/>
                <w:lang w:eastAsia="ja-JP"/>
              </w:rPr>
              <w:t>Optional with capability signaling</w:t>
            </w:r>
          </w:p>
          <w:p w14:paraId="4DDBAAFB" w14:textId="77777777" w:rsidR="00E07BE2" w:rsidRPr="00E07BE2" w:rsidRDefault="00E07BE2" w:rsidP="00E07BE2">
            <w:pPr>
              <w:keepNext/>
              <w:keepLines/>
              <w:spacing w:after="0" w:line="240" w:lineRule="auto"/>
              <w:rPr>
                <w:rFonts w:eastAsia="SimSun" w:cs="Arial"/>
                <w:sz w:val="18"/>
                <w:szCs w:val="18"/>
                <w:lang w:eastAsia="ja-JP"/>
              </w:rPr>
            </w:pPr>
            <w:r w:rsidRPr="00E07BE2">
              <w:rPr>
                <w:rFonts w:eastAsia="SimSun" w:cs="Arial"/>
                <w:sz w:val="18"/>
                <w:szCs w:val="18"/>
                <w:lang w:eastAsia="ja-JP"/>
              </w:rPr>
              <w:t>RedCap UE must indicate this FG is supported</w:t>
            </w:r>
          </w:p>
        </w:tc>
      </w:tr>
      <w:tr w:rsidR="00E07BE2" w:rsidRPr="00E07BE2" w14:paraId="686E3098" w14:textId="77777777" w:rsidTr="00B20E7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CF09966"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 xml:space="preserve"> 28.</w:t>
            </w:r>
            <w:r w:rsidRPr="00E07BE2">
              <w:rPr>
                <w:rFonts w:eastAsia="SimSun" w:cs="Times New Roman"/>
                <w:sz w:val="18"/>
                <w:szCs w:val="20"/>
                <w:lang w:val="en-GB"/>
              </w:rPr>
              <w:t xml:space="preserve"> </w:t>
            </w:r>
            <w:r w:rsidRPr="00E07BE2">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539A144"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EEC84EC" w14:textId="77777777" w:rsidR="00E07BE2" w:rsidRPr="00E07BE2" w:rsidRDefault="00E07BE2" w:rsidP="00E07BE2">
            <w:pPr>
              <w:keepNext/>
              <w:keepLines/>
              <w:spacing w:after="0" w:line="240" w:lineRule="auto"/>
              <w:rPr>
                <w:rFonts w:eastAsia="SimSun" w:cs="Arial"/>
                <w:sz w:val="18"/>
                <w:szCs w:val="18"/>
                <w:lang w:val="en-GB" w:eastAsia="zh-CN"/>
              </w:rPr>
            </w:pPr>
            <w:r w:rsidRPr="00E07BE2">
              <w:rPr>
                <w:rFonts w:eastAsia="SimSun" w:cs="Arial"/>
                <w:sz w:val="18"/>
                <w:szCs w:val="18"/>
                <w:lang w:val="en-GB" w:eastAsia="zh-CN"/>
              </w:rPr>
              <w:t>Number of UE Rx branches and DL MIMO layers for RedCap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2B415B1" w14:textId="77777777" w:rsidR="00E07BE2" w:rsidRPr="00E07BE2" w:rsidRDefault="00E07BE2" w:rsidP="00E07BE2">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E07BE2">
              <w:rPr>
                <w:rFonts w:eastAsia="MS Gothic" w:cs="Arial"/>
                <w:sz w:val="18"/>
                <w:szCs w:val="18"/>
                <w:lang w:val="en-GB" w:eastAsia="ja-JP"/>
              </w:rPr>
              <w:t>1. For a RedCap UE with 1 Rx branch, 1 DL MIMO layer is supported.</w:t>
            </w:r>
          </w:p>
          <w:p w14:paraId="01B11DD7" w14:textId="77777777" w:rsidR="00E07BE2" w:rsidRPr="00E07BE2" w:rsidRDefault="00E07BE2" w:rsidP="00E07BE2">
            <w:pPr>
              <w:autoSpaceDE w:val="0"/>
              <w:autoSpaceDN w:val="0"/>
              <w:adjustRightInd w:val="0"/>
              <w:snapToGrid w:val="0"/>
              <w:spacing w:after="0" w:line="240" w:lineRule="auto"/>
              <w:contextualSpacing/>
              <w:jc w:val="both"/>
              <w:rPr>
                <w:rFonts w:eastAsia="MS Gothic" w:cs="Arial"/>
                <w:sz w:val="18"/>
                <w:szCs w:val="18"/>
                <w:lang w:val="en-GB" w:eastAsia="ja-JP"/>
              </w:rPr>
            </w:pPr>
            <w:r w:rsidRPr="00E07BE2">
              <w:rPr>
                <w:rFonts w:eastAsia="MS Gothic" w:cs="Arial"/>
                <w:sz w:val="18"/>
                <w:szCs w:val="18"/>
                <w:lang w:val="en-GB" w:eastAsia="ja-JP"/>
              </w:rPr>
              <w:t>2. For a RedCap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2D2825F"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0E03201" w14:textId="77777777" w:rsidR="00E07BE2" w:rsidRPr="00E07BE2" w:rsidRDefault="00E07BE2" w:rsidP="00E07BE2">
            <w:pPr>
              <w:keepNext/>
              <w:keepLines/>
              <w:spacing w:after="0" w:line="240" w:lineRule="auto"/>
              <w:rPr>
                <w:rFonts w:eastAsia="SimSun" w:cs="Arial"/>
                <w:sz w:val="18"/>
                <w:szCs w:val="18"/>
                <w:lang w:val="en-GB" w:eastAsia="zh-CN"/>
              </w:rPr>
            </w:pPr>
            <w:r w:rsidRPr="00E07BE2">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3EB49BF" w14:textId="77777777" w:rsidR="00E07BE2" w:rsidRPr="00E07BE2" w:rsidRDefault="00E07BE2" w:rsidP="00E07BE2">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478DA1C" w14:textId="77777777" w:rsidR="00E07BE2" w:rsidRPr="00E07BE2" w:rsidRDefault="00E07BE2" w:rsidP="00E07BE2">
            <w:pPr>
              <w:keepNext/>
              <w:keepLines/>
              <w:spacing w:after="0" w:line="240" w:lineRule="auto"/>
              <w:rPr>
                <w:rFonts w:eastAsia="SimSun" w:cs="Arial"/>
                <w:sz w:val="18"/>
                <w:szCs w:val="18"/>
                <w:lang w:val="en-GB" w:eastAsia="zh-CN"/>
              </w:rPr>
            </w:pPr>
            <w:r w:rsidRPr="00E07BE2">
              <w:rPr>
                <w:rFonts w:eastAsia="SimSun" w:cs="Arial"/>
                <w:sz w:val="18"/>
                <w:szCs w:val="18"/>
                <w:lang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544713"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B379B1E"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F468113"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ED29211" w14:textId="77777777" w:rsidR="00E07BE2" w:rsidRPr="00E07BE2" w:rsidRDefault="00E07BE2" w:rsidP="00E07BE2">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F3A59B0"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 xml:space="preserve">For UE capability signalling, the number of Rx branches for RedCap is implicitly indicated by the corresponding capability parameter </w:t>
            </w:r>
            <w:proofErr w:type="spellStart"/>
            <w:r w:rsidRPr="00E07BE2">
              <w:rPr>
                <w:rFonts w:eastAsia="SimSun" w:cs="Arial"/>
                <w:i/>
                <w:iCs/>
                <w:sz w:val="18"/>
                <w:szCs w:val="18"/>
                <w:lang w:val="en-GB"/>
              </w:rPr>
              <w:t>maxNumberMIMO-LayersPDSCH</w:t>
            </w:r>
            <w:proofErr w:type="spellEnd"/>
            <w:r w:rsidRPr="00E07BE2">
              <w:rPr>
                <w:rFonts w:eastAsia="SimSun" w:cs="Arial"/>
                <w:sz w:val="18"/>
                <w:szCs w:val="18"/>
                <w:lang w:val="en-GB"/>
              </w:rPr>
              <w:t xml:space="preserve"> in the existing UE capability framework.</w:t>
            </w:r>
            <w:r w:rsidRPr="00E07BE2">
              <w:rPr>
                <w:rFonts w:eastAsia="SimSun" w:cs="Times New Roman"/>
                <w:sz w:val="18"/>
                <w:szCs w:val="20"/>
                <w:lang w:val="en-GB"/>
              </w:rPr>
              <w:t xml:space="preserve"> </w:t>
            </w:r>
            <w:r w:rsidRPr="00E07BE2">
              <w:rPr>
                <w:rFonts w:eastAsia="SimSun" w:cs="Arial"/>
                <w:sz w:val="18"/>
                <w:szCs w:val="18"/>
                <w:lang w:val="en-GB"/>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C8F81AA" w14:textId="77777777" w:rsidR="00E07BE2" w:rsidRPr="00E07BE2" w:rsidRDefault="00E07BE2" w:rsidP="00E07BE2">
            <w:pPr>
              <w:keepNext/>
              <w:keepLines/>
              <w:spacing w:after="0" w:line="240" w:lineRule="auto"/>
              <w:rPr>
                <w:rFonts w:eastAsia="SimSun" w:cs="Arial"/>
                <w:sz w:val="18"/>
                <w:szCs w:val="18"/>
              </w:rPr>
            </w:pPr>
            <w:r w:rsidRPr="00E07BE2">
              <w:rPr>
                <w:rFonts w:eastAsia="SimSun" w:cs="Arial"/>
                <w:sz w:val="18"/>
                <w:szCs w:val="18"/>
              </w:rPr>
              <w:t>Optional</w:t>
            </w:r>
            <w:r w:rsidRPr="00E07BE2">
              <w:rPr>
                <w:rFonts w:eastAsia="SimSun" w:cs="Arial"/>
                <w:sz w:val="18"/>
                <w:szCs w:val="18"/>
                <w:lang w:eastAsia="ja-JP"/>
              </w:rPr>
              <w:t xml:space="preserve"> with capability signaling</w:t>
            </w:r>
          </w:p>
        </w:tc>
      </w:tr>
      <w:tr w:rsidR="00E07BE2" w:rsidRPr="00E07BE2" w14:paraId="2F52DC62" w14:textId="77777777" w:rsidTr="00B20E7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4B2F40"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6D60AA00"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3066B697" w14:textId="77777777" w:rsidR="00E07BE2" w:rsidRPr="00E07BE2" w:rsidRDefault="00E07BE2" w:rsidP="00E07BE2">
            <w:pPr>
              <w:keepNext/>
              <w:keepLines/>
              <w:spacing w:after="0" w:line="240" w:lineRule="auto"/>
              <w:rPr>
                <w:rFonts w:eastAsia="SimSun" w:cs="Arial"/>
                <w:sz w:val="18"/>
                <w:szCs w:val="18"/>
                <w:lang w:val="en-GB" w:eastAsia="zh-CN"/>
              </w:rPr>
            </w:pPr>
            <w:r w:rsidRPr="00E07BE2">
              <w:rPr>
                <w:rFonts w:eastAsia="SimSun" w:cs="Arial"/>
                <w:sz w:val="18"/>
                <w:szCs w:val="18"/>
                <w:lang w:val="en-GB"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6F778A9B" w14:textId="77777777" w:rsidR="00E07BE2" w:rsidRPr="00E07BE2" w:rsidRDefault="00E07BE2" w:rsidP="00E07BE2">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E07BE2">
              <w:rPr>
                <w:rFonts w:eastAsia="MS Gothic" w:cs="Arial"/>
                <w:sz w:val="18"/>
                <w:szCs w:val="18"/>
                <w:lang w:val="en-GB" w:eastAsia="ja-JP"/>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580D4EA6"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hideMark/>
          </w:tcPr>
          <w:p w14:paraId="118F1757" w14:textId="77777777" w:rsidR="00E07BE2" w:rsidRPr="00E07BE2" w:rsidRDefault="00E07BE2" w:rsidP="00E07BE2">
            <w:pPr>
              <w:keepNext/>
              <w:keepLines/>
              <w:spacing w:after="0" w:line="240" w:lineRule="auto"/>
              <w:rPr>
                <w:rFonts w:eastAsia="SimSun" w:cs="Arial"/>
                <w:sz w:val="18"/>
                <w:szCs w:val="18"/>
                <w:lang w:val="en-GB" w:eastAsia="zh-CN"/>
              </w:rPr>
            </w:pPr>
            <w:r w:rsidRPr="00E07BE2">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397F20B3" w14:textId="77777777" w:rsidR="00E07BE2" w:rsidRPr="00E07BE2" w:rsidRDefault="00E07BE2" w:rsidP="00E07BE2">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D16406D" w14:textId="77777777" w:rsidR="00E07BE2" w:rsidRPr="00E07BE2" w:rsidRDefault="00E07BE2" w:rsidP="00E07BE2">
            <w:pPr>
              <w:keepNext/>
              <w:keepLines/>
              <w:spacing w:after="0" w:line="240" w:lineRule="auto"/>
              <w:rPr>
                <w:rFonts w:eastAsia="SimSun" w:cs="Arial"/>
                <w:sz w:val="18"/>
                <w:szCs w:val="18"/>
                <w:lang w:eastAsia="zh-CN"/>
              </w:rPr>
            </w:pPr>
            <w:r w:rsidRPr="00E07BE2">
              <w:rPr>
                <w:rFonts w:eastAsia="SimSun" w:cs="Times New Roman"/>
                <w:sz w:val="18"/>
                <w:szCs w:val="24"/>
                <w:lang w:val="en-GB"/>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9B287CA"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102355"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3282A47"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FR1 only</w:t>
            </w:r>
          </w:p>
        </w:tc>
        <w:tc>
          <w:tcPr>
            <w:tcW w:w="989" w:type="dxa"/>
            <w:tcBorders>
              <w:top w:val="single" w:sz="4" w:space="0" w:color="auto"/>
              <w:left w:val="single" w:sz="4" w:space="0" w:color="auto"/>
              <w:bottom w:val="single" w:sz="4" w:space="0" w:color="auto"/>
              <w:right w:val="single" w:sz="4" w:space="0" w:color="auto"/>
            </w:tcBorders>
          </w:tcPr>
          <w:p w14:paraId="26EABAB0" w14:textId="77777777" w:rsidR="00E07BE2" w:rsidRPr="00E07BE2" w:rsidRDefault="00E07BE2" w:rsidP="00E07BE2">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1608C410" w14:textId="77777777" w:rsidR="00E07BE2" w:rsidRPr="00E07BE2" w:rsidRDefault="00E07BE2" w:rsidP="00E07BE2">
            <w:pPr>
              <w:keepNext/>
              <w:keepLines/>
              <w:spacing w:after="0" w:line="240" w:lineRule="auto"/>
              <w:rPr>
                <w:rFonts w:eastAsia="SimSun"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9565048" w14:textId="77777777" w:rsidR="00E07BE2" w:rsidRPr="00E07BE2" w:rsidRDefault="00E07BE2" w:rsidP="00E07BE2">
            <w:pPr>
              <w:keepNext/>
              <w:keepLines/>
              <w:spacing w:after="0" w:line="240" w:lineRule="auto"/>
              <w:rPr>
                <w:rFonts w:eastAsia="SimSun" w:cs="Arial"/>
                <w:sz w:val="18"/>
                <w:szCs w:val="18"/>
              </w:rPr>
            </w:pPr>
            <w:r w:rsidRPr="00E07BE2">
              <w:rPr>
                <w:rFonts w:eastAsia="SimSun" w:cs="Arial"/>
                <w:sz w:val="18"/>
                <w:szCs w:val="18"/>
              </w:rPr>
              <w:t>Optional</w:t>
            </w:r>
            <w:r w:rsidRPr="00E07BE2">
              <w:rPr>
                <w:rFonts w:eastAsia="SimSun" w:cs="Arial"/>
                <w:sz w:val="18"/>
                <w:szCs w:val="18"/>
                <w:lang w:eastAsia="ja-JP"/>
              </w:rPr>
              <w:t xml:space="preserve"> with capability signaling</w:t>
            </w:r>
          </w:p>
        </w:tc>
      </w:tr>
      <w:tr w:rsidR="00E07BE2" w:rsidRPr="00E07BE2" w14:paraId="303B4E4C" w14:textId="77777777" w:rsidTr="00B20E7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8DD699B"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 xml:space="preserve"> 28.</w:t>
            </w:r>
            <w:r w:rsidRPr="00E07BE2">
              <w:rPr>
                <w:rFonts w:eastAsia="SimSun" w:cs="Times New Roman"/>
                <w:sz w:val="18"/>
                <w:szCs w:val="20"/>
                <w:lang w:val="en-GB"/>
              </w:rPr>
              <w:t xml:space="preserve"> </w:t>
            </w:r>
            <w:r w:rsidRPr="00E07BE2">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1291629"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28-5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043D4E0" w14:textId="77777777" w:rsidR="00E07BE2" w:rsidRPr="00E07BE2" w:rsidRDefault="00E07BE2" w:rsidP="00E07BE2">
            <w:pPr>
              <w:keepNext/>
              <w:keepLines/>
              <w:spacing w:after="0" w:line="240" w:lineRule="auto"/>
              <w:rPr>
                <w:rFonts w:eastAsia="SimSun" w:cs="Arial"/>
                <w:sz w:val="18"/>
                <w:szCs w:val="18"/>
                <w:lang w:val="en-GB" w:eastAsia="zh-CN"/>
              </w:rPr>
            </w:pPr>
            <w:r w:rsidRPr="00E07BE2">
              <w:rPr>
                <w:rFonts w:eastAsia="SimSun" w:cs="Arial"/>
                <w:sz w:val="18"/>
                <w:szCs w:val="18"/>
                <w:lang w:val="en-GB" w:eastAsia="zh-CN"/>
              </w:rPr>
              <w:t>UL 256QAM support for RedCap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54A4EC5" w14:textId="77777777" w:rsidR="00E07BE2" w:rsidRPr="00E07BE2" w:rsidRDefault="00E07BE2" w:rsidP="00E07BE2">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E07BE2">
              <w:rPr>
                <w:rFonts w:eastAsia="MS Gothic" w:cs="Arial"/>
                <w:sz w:val="18"/>
                <w:szCs w:val="18"/>
                <w:lang w:val="en-GB" w:eastAsia="ja-JP"/>
              </w:rPr>
              <w:t>1. Support of 256QAM for PUSCH for RedCap UE</w:t>
            </w:r>
          </w:p>
          <w:p w14:paraId="6EBCC626" w14:textId="77777777" w:rsidR="00E07BE2" w:rsidRPr="00E07BE2" w:rsidRDefault="00E07BE2" w:rsidP="00E07BE2">
            <w:pPr>
              <w:autoSpaceDE w:val="0"/>
              <w:autoSpaceDN w:val="0"/>
              <w:adjustRightInd w:val="0"/>
              <w:snapToGrid w:val="0"/>
              <w:spacing w:after="0" w:line="240" w:lineRule="auto"/>
              <w:contextualSpacing/>
              <w:jc w:val="both"/>
              <w:rPr>
                <w:rFonts w:eastAsia="MS Gothic" w:cs="Arial"/>
                <w:sz w:val="18"/>
                <w:szCs w:val="18"/>
                <w:lang w:val="en-GB" w:eastAsia="ja-JP"/>
              </w:rPr>
            </w:pPr>
            <w:r w:rsidRPr="00E07BE2">
              <w:rPr>
                <w:rFonts w:eastAsia="MS Gothic" w:cs="Arial"/>
                <w:sz w:val="18"/>
                <w:szCs w:val="18"/>
                <w:lang w:val="en-GB" w:eastAsia="ja-JP"/>
              </w:rPr>
              <w:t>2. Support of 256QAM MCS table (Table 5.1.3.1-2 in TS 38.214) for PUSCH for RedCap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B0A9B96"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0FFA607" w14:textId="77777777" w:rsidR="00E07BE2" w:rsidRPr="00E07BE2" w:rsidRDefault="00E07BE2" w:rsidP="00E07BE2">
            <w:pPr>
              <w:keepNext/>
              <w:keepLines/>
              <w:spacing w:after="0" w:line="240" w:lineRule="auto"/>
              <w:rPr>
                <w:rFonts w:eastAsia="SimSun" w:cs="Arial"/>
                <w:sz w:val="18"/>
                <w:szCs w:val="18"/>
                <w:lang w:val="en-GB" w:eastAsia="zh-CN"/>
              </w:rPr>
            </w:pPr>
            <w:r w:rsidRPr="00E07BE2">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9140E6" w14:textId="77777777" w:rsidR="00E07BE2" w:rsidRPr="00E07BE2" w:rsidRDefault="00E07BE2" w:rsidP="00E07BE2">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1736FAE" w14:textId="77777777" w:rsidR="00E07BE2" w:rsidRPr="00E07BE2" w:rsidRDefault="00E07BE2" w:rsidP="00E07BE2">
            <w:pPr>
              <w:keepNext/>
              <w:keepLines/>
              <w:spacing w:after="0" w:line="240" w:lineRule="auto"/>
              <w:rPr>
                <w:rFonts w:eastAsia="SimSun" w:cs="Arial"/>
                <w:sz w:val="18"/>
                <w:szCs w:val="18"/>
                <w:lang w:eastAsia="zh-CN"/>
              </w:rPr>
            </w:pPr>
            <w:r w:rsidRPr="00E07BE2">
              <w:rPr>
                <w:rFonts w:eastAsia="SimSun" w:cs="Arial"/>
                <w:sz w:val="18"/>
                <w:szCs w:val="18"/>
                <w:lang w:eastAsia="zh-CN"/>
              </w:rPr>
              <w:t>Impact on UE complexity and UL link performance at high SNR</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901B8F" w14:textId="77777777" w:rsidR="00E07BE2" w:rsidRPr="00E07BE2" w:rsidRDefault="00E07BE2" w:rsidP="00E07BE2">
            <w:pPr>
              <w:keepNext/>
              <w:keepLines/>
              <w:spacing w:after="0" w:line="240" w:lineRule="auto"/>
              <w:rPr>
                <w:rFonts w:eastAsia="SimSun" w:cs="Arial"/>
                <w:sz w:val="18"/>
                <w:szCs w:val="18"/>
                <w:lang w:val="en-GB" w:eastAsia="ja-JP"/>
              </w:rPr>
            </w:pPr>
            <w:r w:rsidRPr="00E07BE2">
              <w:rPr>
                <w:rFonts w:eastAsia="SimSun"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77E2361"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1FFF55"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F93111C" w14:textId="77777777" w:rsidR="00E07BE2" w:rsidRPr="00E07BE2" w:rsidRDefault="00E07BE2" w:rsidP="00E07BE2">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68041F9C" w14:textId="77777777" w:rsidR="00E07BE2" w:rsidRPr="00E07BE2" w:rsidRDefault="00E07BE2" w:rsidP="00E07BE2">
            <w:pPr>
              <w:keepNext/>
              <w:keepLines/>
              <w:spacing w:after="0" w:line="240" w:lineRule="auto"/>
              <w:rPr>
                <w:rFonts w:eastAsia="SimSun" w:cs="Arial"/>
                <w:sz w:val="18"/>
                <w:szCs w:val="18"/>
                <w:lang w:val="en-GB"/>
              </w:rPr>
            </w:pPr>
            <w:r w:rsidRPr="00E07BE2">
              <w:rPr>
                <w:rFonts w:eastAsia="SimSun" w:cs="Arial"/>
                <w:sz w:val="18"/>
                <w:szCs w:val="18"/>
                <w:lang w:val="en-GB"/>
              </w:rPr>
              <w:t>For RedCap UEs, the 256QAM MCS table for PUSCH is only supported if the UE supports 256QAM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3D859B" w14:textId="77777777" w:rsidR="00E07BE2" w:rsidRPr="00E07BE2" w:rsidRDefault="00E07BE2" w:rsidP="00E07BE2">
            <w:pPr>
              <w:keepNext/>
              <w:keepLines/>
              <w:spacing w:after="0" w:line="240" w:lineRule="auto"/>
              <w:rPr>
                <w:rFonts w:eastAsia="SimSun" w:cs="Arial"/>
                <w:sz w:val="18"/>
                <w:szCs w:val="18"/>
              </w:rPr>
            </w:pPr>
            <w:r w:rsidRPr="00E07BE2">
              <w:rPr>
                <w:rFonts w:eastAsia="SimSun" w:cs="Arial"/>
                <w:sz w:val="18"/>
                <w:szCs w:val="18"/>
              </w:rPr>
              <w:t>Optional</w:t>
            </w:r>
            <w:r w:rsidRPr="00E07BE2">
              <w:rPr>
                <w:rFonts w:eastAsia="SimSun" w:cs="Arial"/>
                <w:sz w:val="18"/>
                <w:szCs w:val="18"/>
                <w:lang w:eastAsia="ja-JP"/>
              </w:rPr>
              <w:t xml:space="preserve"> with capability signaling</w:t>
            </w:r>
          </w:p>
        </w:tc>
      </w:tr>
    </w:tbl>
    <w:p w14:paraId="3E42B5E5" w14:textId="77777777" w:rsidR="00E07BE2" w:rsidRPr="00BC699B" w:rsidRDefault="00E07BE2" w:rsidP="00BC699B">
      <w:pPr>
        <w:spacing w:afterLines="50" w:after="120" w:line="240" w:lineRule="auto"/>
        <w:jc w:val="both"/>
        <w:rPr>
          <w:rFonts w:ascii="Times New Roman" w:eastAsia="MS Mincho" w:hAnsi="Times New Roman" w:cs="Times New Roman"/>
          <w:sz w:val="22"/>
          <w:szCs w:val="20"/>
          <w:lang w:val="en-GB" w:eastAsia="ja-JP"/>
        </w:rPr>
      </w:pPr>
    </w:p>
    <w:sectPr w:rsidR="00E07BE2" w:rsidRPr="00BC699B" w:rsidSect="00BC699B">
      <w:headerReference w:type="even" r:id="rId13"/>
      <w:footerReference w:type="default" r:id="rId1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3FF23" w14:textId="77777777" w:rsidR="00B20E7F" w:rsidRDefault="00B20E7F">
      <w:r>
        <w:separator/>
      </w:r>
    </w:p>
  </w:endnote>
  <w:endnote w:type="continuationSeparator" w:id="0">
    <w:p w14:paraId="2B740325" w14:textId="77777777" w:rsidR="00B20E7F" w:rsidRDefault="00B20E7F">
      <w:r>
        <w:continuationSeparator/>
      </w:r>
    </w:p>
  </w:endnote>
  <w:endnote w:type="continuationNotice" w:id="1">
    <w:p w14:paraId="283ABF92" w14:textId="77777777" w:rsidR="00B20E7F" w:rsidRDefault="00B20E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AD165"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353E02B" w14:textId="77777777" w:rsidR="00B20E7F" w:rsidRDefault="00B20E7F"/>
  <w:p w14:paraId="5440FBF1" w14:textId="77777777" w:rsidR="00B20E7F" w:rsidRDefault="00B20E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F8885" w14:textId="77777777" w:rsidR="00B20E7F" w:rsidRDefault="00B20E7F">
      <w:r>
        <w:separator/>
      </w:r>
    </w:p>
  </w:footnote>
  <w:footnote w:type="continuationSeparator" w:id="0">
    <w:p w14:paraId="1CC3444A" w14:textId="77777777" w:rsidR="00B20E7F" w:rsidRDefault="00B20E7F">
      <w:r>
        <w:continuationSeparator/>
      </w:r>
    </w:p>
  </w:footnote>
  <w:footnote w:type="continuationNotice" w:id="1">
    <w:p w14:paraId="750303CF" w14:textId="77777777" w:rsidR="00B20E7F" w:rsidRDefault="00B20E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8C24E" w14:textId="77777777" w:rsidR="00B20E7F" w:rsidRDefault="00B20E7F">
    <w:r>
      <w:t xml:space="preserve">Page </w:t>
    </w:r>
    <w:r>
      <w:fldChar w:fldCharType="begin"/>
    </w:r>
    <w:r>
      <w:instrText>PAGE</w:instrText>
    </w:r>
    <w:r>
      <w:fldChar w:fldCharType="separate"/>
    </w:r>
    <w:r>
      <w:t>4</w:t>
    </w:r>
    <w:r>
      <w:fldChar w:fldCharType="end"/>
    </w:r>
    <w:r>
      <w:br/>
      <w:t xml:space="preserve">Draft </w:t>
    </w:r>
    <w:r>
      <w:t>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B20E7F" w:rsidRDefault="00B20E7F">
    <w:r>
      <w:t xml:space="preserve">Page </w:t>
    </w:r>
    <w:r>
      <w:fldChar w:fldCharType="begin"/>
    </w:r>
    <w:r>
      <w:instrText>PAGE</w:instrText>
    </w:r>
    <w:r>
      <w:fldChar w:fldCharType="separate"/>
    </w:r>
    <w:r>
      <w:t>4</w:t>
    </w:r>
    <w:r>
      <w:fldChar w:fldCharType="end"/>
    </w:r>
    <w:r>
      <w:br/>
      <w:t xml:space="preserve">Draft </w:t>
    </w:r>
    <w:r>
      <w:t>prETS 300 ???: Month YYYY</w:t>
    </w:r>
  </w:p>
  <w:p w14:paraId="6DDDAA44" w14:textId="77777777" w:rsidR="00B20E7F" w:rsidRDefault="00B20E7F"/>
  <w:p w14:paraId="7CD9D2AA" w14:textId="77777777" w:rsidR="00B20E7F" w:rsidRDefault="00B20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7"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20"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6"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7"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0"/>
  </w:num>
  <w:num w:numId="4">
    <w:abstractNumId w:val="22"/>
  </w:num>
  <w:num w:numId="5">
    <w:abstractNumId w:val="23"/>
  </w:num>
  <w:num w:numId="6">
    <w:abstractNumId w:val="24"/>
  </w:num>
  <w:num w:numId="7">
    <w:abstractNumId w:val="10"/>
  </w:num>
  <w:num w:numId="8">
    <w:abstractNumId w:val="12"/>
  </w:num>
  <w:num w:numId="9">
    <w:abstractNumId w:val="2"/>
  </w:num>
  <w:num w:numId="10">
    <w:abstractNumId w:val="30"/>
  </w:num>
  <w:num w:numId="11">
    <w:abstractNumId w:val="15"/>
  </w:num>
  <w:num w:numId="12">
    <w:abstractNumId w:val="28"/>
  </w:num>
  <w:num w:numId="13">
    <w:abstractNumId w:val="14"/>
  </w:num>
  <w:num w:numId="14">
    <w:abstractNumId w:val="1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8"/>
  </w:num>
  <w:num w:numId="21">
    <w:abstractNumId w:val="7"/>
  </w:num>
  <w:num w:numId="22">
    <w:abstractNumId w:val="9"/>
  </w:num>
  <w:num w:numId="23">
    <w:abstractNumId w:val="25"/>
  </w:num>
  <w:num w:numId="24">
    <w:abstractNumId w:val="29"/>
  </w:num>
  <w:num w:numId="25">
    <w:abstractNumId w:val="27"/>
  </w:num>
  <w:num w:numId="26">
    <w:abstractNumId w:val="3"/>
  </w:num>
  <w:num w:numId="27">
    <w:abstractNumId w:val="16"/>
  </w:num>
  <w:num w:numId="28">
    <w:abstractNumId w:val="4"/>
  </w:num>
  <w:num w:numId="29">
    <w:abstractNumId w:val="11"/>
  </w:num>
  <w:num w:numId="30">
    <w:abstractNumId w:val="6"/>
  </w:num>
  <w:num w:numId="31">
    <w:abstractNumId w:val="1"/>
  </w:num>
  <w:num w:numId="32">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766"/>
    <w:rsid w:val="00002A37"/>
    <w:rsid w:val="00003308"/>
    <w:rsid w:val="0000564C"/>
    <w:rsid w:val="00005FE0"/>
    <w:rsid w:val="00006446"/>
    <w:rsid w:val="00006896"/>
    <w:rsid w:val="00007CDC"/>
    <w:rsid w:val="00007FCE"/>
    <w:rsid w:val="000108F9"/>
    <w:rsid w:val="00010C5B"/>
    <w:rsid w:val="00011B28"/>
    <w:rsid w:val="00011EF7"/>
    <w:rsid w:val="000123C6"/>
    <w:rsid w:val="00014ADE"/>
    <w:rsid w:val="00014C51"/>
    <w:rsid w:val="00014E91"/>
    <w:rsid w:val="0001564B"/>
    <w:rsid w:val="00015D15"/>
    <w:rsid w:val="00017BE7"/>
    <w:rsid w:val="0002019C"/>
    <w:rsid w:val="000214BE"/>
    <w:rsid w:val="000233D8"/>
    <w:rsid w:val="00024569"/>
    <w:rsid w:val="0002564D"/>
    <w:rsid w:val="00025ECA"/>
    <w:rsid w:val="00026B32"/>
    <w:rsid w:val="000305F5"/>
    <w:rsid w:val="00031477"/>
    <w:rsid w:val="000325B8"/>
    <w:rsid w:val="00033418"/>
    <w:rsid w:val="00034C15"/>
    <w:rsid w:val="00034E5A"/>
    <w:rsid w:val="0003503D"/>
    <w:rsid w:val="00036BA1"/>
    <w:rsid w:val="00040707"/>
    <w:rsid w:val="00040BCE"/>
    <w:rsid w:val="000422E2"/>
    <w:rsid w:val="00042A32"/>
    <w:rsid w:val="00042B82"/>
    <w:rsid w:val="00042F22"/>
    <w:rsid w:val="00043BB0"/>
    <w:rsid w:val="00044222"/>
    <w:rsid w:val="000444EF"/>
    <w:rsid w:val="000459E1"/>
    <w:rsid w:val="00047D9A"/>
    <w:rsid w:val="000502BB"/>
    <w:rsid w:val="00050A7C"/>
    <w:rsid w:val="00050CBE"/>
    <w:rsid w:val="00050CFC"/>
    <w:rsid w:val="00052391"/>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87E"/>
    <w:rsid w:val="00065678"/>
    <w:rsid w:val="00065E1A"/>
    <w:rsid w:val="00067187"/>
    <w:rsid w:val="00067473"/>
    <w:rsid w:val="0006782A"/>
    <w:rsid w:val="00067FA1"/>
    <w:rsid w:val="00070862"/>
    <w:rsid w:val="00071340"/>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5FB0"/>
    <w:rsid w:val="000964C0"/>
    <w:rsid w:val="00097548"/>
    <w:rsid w:val="000A1232"/>
    <w:rsid w:val="000A1B7B"/>
    <w:rsid w:val="000A30AA"/>
    <w:rsid w:val="000A3181"/>
    <w:rsid w:val="000A3C0C"/>
    <w:rsid w:val="000A3EF4"/>
    <w:rsid w:val="000A56F2"/>
    <w:rsid w:val="000A6F30"/>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C47A9"/>
    <w:rsid w:val="000D0D07"/>
    <w:rsid w:val="000D3303"/>
    <w:rsid w:val="000D4797"/>
    <w:rsid w:val="000D7CA3"/>
    <w:rsid w:val="000E0527"/>
    <w:rsid w:val="000E1E92"/>
    <w:rsid w:val="000E2209"/>
    <w:rsid w:val="000E3959"/>
    <w:rsid w:val="000E4DF1"/>
    <w:rsid w:val="000E6625"/>
    <w:rsid w:val="000E6F81"/>
    <w:rsid w:val="000F06D6"/>
    <w:rsid w:val="000F07C8"/>
    <w:rsid w:val="000F08B6"/>
    <w:rsid w:val="000F0EB1"/>
    <w:rsid w:val="000F1106"/>
    <w:rsid w:val="000F17D0"/>
    <w:rsid w:val="000F245C"/>
    <w:rsid w:val="000F30BC"/>
    <w:rsid w:val="000F392F"/>
    <w:rsid w:val="000F3BE9"/>
    <w:rsid w:val="000F3F6C"/>
    <w:rsid w:val="000F54D6"/>
    <w:rsid w:val="000F625C"/>
    <w:rsid w:val="000F6DF3"/>
    <w:rsid w:val="001005FF"/>
    <w:rsid w:val="001007A2"/>
    <w:rsid w:val="00102B62"/>
    <w:rsid w:val="001042E0"/>
    <w:rsid w:val="001050FA"/>
    <w:rsid w:val="0010611D"/>
    <w:rsid w:val="001062FB"/>
    <w:rsid w:val="001063E6"/>
    <w:rsid w:val="001064BD"/>
    <w:rsid w:val="0010757B"/>
    <w:rsid w:val="00112161"/>
    <w:rsid w:val="0011270D"/>
    <w:rsid w:val="00113CB9"/>
    <w:rsid w:val="00113CF4"/>
    <w:rsid w:val="00113EED"/>
    <w:rsid w:val="00114222"/>
    <w:rsid w:val="001145AF"/>
    <w:rsid w:val="001147F3"/>
    <w:rsid w:val="00114F90"/>
    <w:rsid w:val="001153EA"/>
    <w:rsid w:val="00115643"/>
    <w:rsid w:val="00116765"/>
    <w:rsid w:val="0011752C"/>
    <w:rsid w:val="001177E6"/>
    <w:rsid w:val="00120A07"/>
    <w:rsid w:val="0012181F"/>
    <w:rsid w:val="001219F5"/>
    <w:rsid w:val="00121A20"/>
    <w:rsid w:val="00121C9F"/>
    <w:rsid w:val="0012377F"/>
    <w:rsid w:val="00124314"/>
    <w:rsid w:val="00126401"/>
    <w:rsid w:val="00126B4A"/>
    <w:rsid w:val="00130CAE"/>
    <w:rsid w:val="00132DAE"/>
    <w:rsid w:val="00132FD0"/>
    <w:rsid w:val="001333F7"/>
    <w:rsid w:val="001344C0"/>
    <w:rsid w:val="001346FA"/>
    <w:rsid w:val="00134D64"/>
    <w:rsid w:val="00135252"/>
    <w:rsid w:val="00137AB5"/>
    <w:rsid w:val="00137F0B"/>
    <w:rsid w:val="0014059D"/>
    <w:rsid w:val="00141AE4"/>
    <w:rsid w:val="00143B14"/>
    <w:rsid w:val="00144125"/>
    <w:rsid w:val="001441A8"/>
    <w:rsid w:val="00145308"/>
    <w:rsid w:val="001463AE"/>
    <w:rsid w:val="00151417"/>
    <w:rsid w:val="00151E23"/>
    <w:rsid w:val="001526E0"/>
    <w:rsid w:val="001537F1"/>
    <w:rsid w:val="001538D3"/>
    <w:rsid w:val="001551B5"/>
    <w:rsid w:val="00157485"/>
    <w:rsid w:val="00161B2A"/>
    <w:rsid w:val="001632CB"/>
    <w:rsid w:val="0016473B"/>
    <w:rsid w:val="00165108"/>
    <w:rsid w:val="001654DE"/>
    <w:rsid w:val="001659C1"/>
    <w:rsid w:val="00167178"/>
    <w:rsid w:val="001671C1"/>
    <w:rsid w:val="001678AE"/>
    <w:rsid w:val="00167EFD"/>
    <w:rsid w:val="00167F32"/>
    <w:rsid w:val="001717AF"/>
    <w:rsid w:val="00171C80"/>
    <w:rsid w:val="00172494"/>
    <w:rsid w:val="0017354E"/>
    <w:rsid w:val="00173A8E"/>
    <w:rsid w:val="001744CF"/>
    <w:rsid w:val="0017502C"/>
    <w:rsid w:val="0017529F"/>
    <w:rsid w:val="00176056"/>
    <w:rsid w:val="00180D83"/>
    <w:rsid w:val="0018143F"/>
    <w:rsid w:val="00181FF8"/>
    <w:rsid w:val="001829BD"/>
    <w:rsid w:val="00185164"/>
    <w:rsid w:val="00186006"/>
    <w:rsid w:val="0019035B"/>
    <w:rsid w:val="00190AC1"/>
    <w:rsid w:val="0019181D"/>
    <w:rsid w:val="00191A43"/>
    <w:rsid w:val="00191E47"/>
    <w:rsid w:val="00191F3E"/>
    <w:rsid w:val="00192555"/>
    <w:rsid w:val="0019341A"/>
    <w:rsid w:val="001939DC"/>
    <w:rsid w:val="00195FFB"/>
    <w:rsid w:val="00197599"/>
    <w:rsid w:val="00197DF9"/>
    <w:rsid w:val="001A0651"/>
    <w:rsid w:val="001A07F3"/>
    <w:rsid w:val="001A1837"/>
    <w:rsid w:val="001A1987"/>
    <w:rsid w:val="001A1B39"/>
    <w:rsid w:val="001A1DFE"/>
    <w:rsid w:val="001A221A"/>
    <w:rsid w:val="001A2564"/>
    <w:rsid w:val="001A58E2"/>
    <w:rsid w:val="001A6114"/>
    <w:rsid w:val="001A6173"/>
    <w:rsid w:val="001A6CBA"/>
    <w:rsid w:val="001A7DF9"/>
    <w:rsid w:val="001B07DB"/>
    <w:rsid w:val="001B0D97"/>
    <w:rsid w:val="001B183C"/>
    <w:rsid w:val="001B3197"/>
    <w:rsid w:val="001B3412"/>
    <w:rsid w:val="001B5A5D"/>
    <w:rsid w:val="001B5E3D"/>
    <w:rsid w:val="001B7757"/>
    <w:rsid w:val="001C0273"/>
    <w:rsid w:val="001C02CB"/>
    <w:rsid w:val="001C1CE5"/>
    <w:rsid w:val="001C3D2A"/>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5B0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C54"/>
    <w:rsid w:val="002302B6"/>
    <w:rsid w:val="002305F5"/>
    <w:rsid w:val="00230765"/>
    <w:rsid w:val="00230D18"/>
    <w:rsid w:val="002319E4"/>
    <w:rsid w:val="00231A54"/>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6227"/>
    <w:rsid w:val="00296C37"/>
    <w:rsid w:val="00296F44"/>
    <w:rsid w:val="0029777D"/>
    <w:rsid w:val="002977F5"/>
    <w:rsid w:val="00297CFD"/>
    <w:rsid w:val="002A055E"/>
    <w:rsid w:val="002A12EC"/>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D071A"/>
    <w:rsid w:val="002D0DEC"/>
    <w:rsid w:val="002D1C03"/>
    <w:rsid w:val="002D34B2"/>
    <w:rsid w:val="002D34E1"/>
    <w:rsid w:val="002D37B9"/>
    <w:rsid w:val="002D48B0"/>
    <w:rsid w:val="002D5B37"/>
    <w:rsid w:val="002D6400"/>
    <w:rsid w:val="002D73F7"/>
    <w:rsid w:val="002D7637"/>
    <w:rsid w:val="002E117E"/>
    <w:rsid w:val="002E17C1"/>
    <w:rsid w:val="002E17F2"/>
    <w:rsid w:val="002E291A"/>
    <w:rsid w:val="002E3A37"/>
    <w:rsid w:val="002E3D7C"/>
    <w:rsid w:val="002E6267"/>
    <w:rsid w:val="002E7CAE"/>
    <w:rsid w:val="002F13E4"/>
    <w:rsid w:val="002F2771"/>
    <w:rsid w:val="002F2988"/>
    <w:rsid w:val="002F37A9"/>
    <w:rsid w:val="002F6A3E"/>
    <w:rsid w:val="002F762F"/>
    <w:rsid w:val="002F7FA1"/>
    <w:rsid w:val="003001F5"/>
    <w:rsid w:val="00301CE6"/>
    <w:rsid w:val="0030256B"/>
    <w:rsid w:val="003040AC"/>
    <w:rsid w:val="00304AE9"/>
    <w:rsid w:val="0030501F"/>
    <w:rsid w:val="00305551"/>
    <w:rsid w:val="0030711A"/>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4D23"/>
    <w:rsid w:val="00324E27"/>
    <w:rsid w:val="003254FA"/>
    <w:rsid w:val="00331751"/>
    <w:rsid w:val="0033180F"/>
    <w:rsid w:val="00332F5E"/>
    <w:rsid w:val="00333457"/>
    <w:rsid w:val="00334579"/>
    <w:rsid w:val="00335858"/>
    <w:rsid w:val="00335F8A"/>
    <w:rsid w:val="00336BDA"/>
    <w:rsid w:val="003408C8"/>
    <w:rsid w:val="003408F0"/>
    <w:rsid w:val="0034206B"/>
    <w:rsid w:val="00342BD7"/>
    <w:rsid w:val="00343847"/>
    <w:rsid w:val="003442B7"/>
    <w:rsid w:val="00346DB5"/>
    <w:rsid w:val="003477B1"/>
    <w:rsid w:val="00350C8B"/>
    <w:rsid w:val="00350CA7"/>
    <w:rsid w:val="00351383"/>
    <w:rsid w:val="003520B6"/>
    <w:rsid w:val="00353206"/>
    <w:rsid w:val="0035368E"/>
    <w:rsid w:val="00354453"/>
    <w:rsid w:val="003545E4"/>
    <w:rsid w:val="00354C92"/>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6746A"/>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4E2F"/>
    <w:rsid w:val="003A5B0A"/>
    <w:rsid w:val="003A6BAC"/>
    <w:rsid w:val="003A70A4"/>
    <w:rsid w:val="003A74C2"/>
    <w:rsid w:val="003A7E5C"/>
    <w:rsid w:val="003A7EF3"/>
    <w:rsid w:val="003B0690"/>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C8"/>
    <w:rsid w:val="00401C1F"/>
    <w:rsid w:val="00402AD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71F"/>
    <w:rsid w:val="00416CD2"/>
    <w:rsid w:val="00417028"/>
    <w:rsid w:val="00417678"/>
    <w:rsid w:val="00420482"/>
    <w:rsid w:val="00420B9E"/>
    <w:rsid w:val="00420C78"/>
    <w:rsid w:val="00421105"/>
    <w:rsid w:val="004212C1"/>
    <w:rsid w:val="00421B6B"/>
    <w:rsid w:val="00421BC2"/>
    <w:rsid w:val="00421F51"/>
    <w:rsid w:val="00422AA4"/>
    <w:rsid w:val="004242F4"/>
    <w:rsid w:val="00425660"/>
    <w:rsid w:val="00427248"/>
    <w:rsid w:val="00430426"/>
    <w:rsid w:val="004319C2"/>
    <w:rsid w:val="00431F13"/>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556"/>
    <w:rsid w:val="00455343"/>
    <w:rsid w:val="0045566D"/>
    <w:rsid w:val="00455872"/>
    <w:rsid w:val="00457565"/>
    <w:rsid w:val="00457B71"/>
    <w:rsid w:val="00460FE0"/>
    <w:rsid w:val="00463015"/>
    <w:rsid w:val="00463304"/>
    <w:rsid w:val="00463529"/>
    <w:rsid w:val="00463AAB"/>
    <w:rsid w:val="0046456F"/>
    <w:rsid w:val="00464689"/>
    <w:rsid w:val="00465E4C"/>
    <w:rsid w:val="00465F48"/>
    <w:rsid w:val="00466016"/>
    <w:rsid w:val="004666C4"/>
    <w:rsid w:val="004667B6"/>
    <w:rsid w:val="004669E2"/>
    <w:rsid w:val="00467222"/>
    <w:rsid w:val="00470C31"/>
    <w:rsid w:val="00470E69"/>
    <w:rsid w:val="00471B8D"/>
    <w:rsid w:val="00471BF5"/>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1BE4"/>
    <w:rsid w:val="00484D60"/>
    <w:rsid w:val="004861B6"/>
    <w:rsid w:val="00486679"/>
    <w:rsid w:val="004905D0"/>
    <w:rsid w:val="00491118"/>
    <w:rsid w:val="0049128F"/>
    <w:rsid w:val="00492BC5"/>
    <w:rsid w:val="00492CB9"/>
    <w:rsid w:val="0049396E"/>
    <w:rsid w:val="00493DA4"/>
    <w:rsid w:val="00494795"/>
    <w:rsid w:val="00494DC8"/>
    <w:rsid w:val="00494E08"/>
    <w:rsid w:val="004964F1"/>
    <w:rsid w:val="004A16BC"/>
    <w:rsid w:val="004A21A5"/>
    <w:rsid w:val="004A2521"/>
    <w:rsid w:val="004A2AE5"/>
    <w:rsid w:val="004A2B94"/>
    <w:rsid w:val="004A494E"/>
    <w:rsid w:val="004A6671"/>
    <w:rsid w:val="004A6875"/>
    <w:rsid w:val="004A7062"/>
    <w:rsid w:val="004A79AB"/>
    <w:rsid w:val="004A7FCA"/>
    <w:rsid w:val="004B2DDE"/>
    <w:rsid w:val="004B3799"/>
    <w:rsid w:val="004B5701"/>
    <w:rsid w:val="004B580E"/>
    <w:rsid w:val="004B5B0A"/>
    <w:rsid w:val="004B6F6A"/>
    <w:rsid w:val="004B7C0C"/>
    <w:rsid w:val="004C07D1"/>
    <w:rsid w:val="004C3898"/>
    <w:rsid w:val="004C433F"/>
    <w:rsid w:val="004C4A87"/>
    <w:rsid w:val="004C50B9"/>
    <w:rsid w:val="004C69CB"/>
    <w:rsid w:val="004C77BA"/>
    <w:rsid w:val="004C7AB6"/>
    <w:rsid w:val="004D0735"/>
    <w:rsid w:val="004D2C97"/>
    <w:rsid w:val="004D344D"/>
    <w:rsid w:val="004D36B1"/>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F69"/>
    <w:rsid w:val="004F1F89"/>
    <w:rsid w:val="004F2078"/>
    <w:rsid w:val="004F4562"/>
    <w:rsid w:val="004F4DA3"/>
    <w:rsid w:val="004F5A8B"/>
    <w:rsid w:val="004F5FD0"/>
    <w:rsid w:val="004F61D1"/>
    <w:rsid w:val="004F6EB6"/>
    <w:rsid w:val="004F76F1"/>
    <w:rsid w:val="00502202"/>
    <w:rsid w:val="00502CE2"/>
    <w:rsid w:val="005033D3"/>
    <w:rsid w:val="00503C8E"/>
    <w:rsid w:val="00504FC7"/>
    <w:rsid w:val="00505518"/>
    <w:rsid w:val="00506557"/>
    <w:rsid w:val="0050677A"/>
    <w:rsid w:val="00507096"/>
    <w:rsid w:val="0050714F"/>
    <w:rsid w:val="00507746"/>
    <w:rsid w:val="005108D8"/>
    <w:rsid w:val="00510951"/>
    <w:rsid w:val="005116F9"/>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B59"/>
    <w:rsid w:val="005352FC"/>
    <w:rsid w:val="00536270"/>
    <w:rsid w:val="00536352"/>
    <w:rsid w:val="00536759"/>
    <w:rsid w:val="00536BB6"/>
    <w:rsid w:val="00537126"/>
    <w:rsid w:val="005371AE"/>
    <w:rsid w:val="00537203"/>
    <w:rsid w:val="005372F5"/>
    <w:rsid w:val="00537998"/>
    <w:rsid w:val="00537C62"/>
    <w:rsid w:val="00542873"/>
    <w:rsid w:val="00542A7C"/>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7029E"/>
    <w:rsid w:val="00570A9A"/>
    <w:rsid w:val="00571FDE"/>
    <w:rsid w:val="00572186"/>
    <w:rsid w:val="00572505"/>
    <w:rsid w:val="0057463D"/>
    <w:rsid w:val="00574AB7"/>
    <w:rsid w:val="0057600A"/>
    <w:rsid w:val="00576CDB"/>
    <w:rsid w:val="005803DF"/>
    <w:rsid w:val="0058050C"/>
    <w:rsid w:val="00582809"/>
    <w:rsid w:val="00582BBC"/>
    <w:rsid w:val="005859D6"/>
    <w:rsid w:val="005864A9"/>
    <w:rsid w:val="0058798C"/>
    <w:rsid w:val="00590040"/>
    <w:rsid w:val="005900FA"/>
    <w:rsid w:val="00592201"/>
    <w:rsid w:val="00592807"/>
    <w:rsid w:val="005935A4"/>
    <w:rsid w:val="00593DDE"/>
    <w:rsid w:val="005948C2"/>
    <w:rsid w:val="00594BE3"/>
    <w:rsid w:val="00594E65"/>
    <w:rsid w:val="00595446"/>
    <w:rsid w:val="00595A73"/>
    <w:rsid w:val="00595DCA"/>
    <w:rsid w:val="0059610F"/>
    <w:rsid w:val="00596B3F"/>
    <w:rsid w:val="0059779B"/>
    <w:rsid w:val="005A0D2F"/>
    <w:rsid w:val="005A0F5B"/>
    <w:rsid w:val="005A1BE5"/>
    <w:rsid w:val="005A209A"/>
    <w:rsid w:val="005A2631"/>
    <w:rsid w:val="005A3C7C"/>
    <w:rsid w:val="005A4499"/>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F83"/>
    <w:rsid w:val="005B7323"/>
    <w:rsid w:val="005B7DEF"/>
    <w:rsid w:val="005C158D"/>
    <w:rsid w:val="005C202F"/>
    <w:rsid w:val="005C40FB"/>
    <w:rsid w:val="005C454B"/>
    <w:rsid w:val="005C50A1"/>
    <w:rsid w:val="005C66EC"/>
    <w:rsid w:val="005C6F20"/>
    <w:rsid w:val="005C74FB"/>
    <w:rsid w:val="005C7A8B"/>
    <w:rsid w:val="005D054D"/>
    <w:rsid w:val="005D06F5"/>
    <w:rsid w:val="005D0D23"/>
    <w:rsid w:val="005D1602"/>
    <w:rsid w:val="005D18E9"/>
    <w:rsid w:val="005D2F3B"/>
    <w:rsid w:val="005D4ABD"/>
    <w:rsid w:val="005D663A"/>
    <w:rsid w:val="005E1E89"/>
    <w:rsid w:val="005E2C1F"/>
    <w:rsid w:val="005E329B"/>
    <w:rsid w:val="005E361D"/>
    <w:rsid w:val="005E385F"/>
    <w:rsid w:val="005E4AC1"/>
    <w:rsid w:val="005E5006"/>
    <w:rsid w:val="005E5B81"/>
    <w:rsid w:val="005E66DB"/>
    <w:rsid w:val="005F2CB1"/>
    <w:rsid w:val="005F3025"/>
    <w:rsid w:val="005F5CEE"/>
    <w:rsid w:val="005F618C"/>
    <w:rsid w:val="005F680E"/>
    <w:rsid w:val="005F70BD"/>
    <w:rsid w:val="005F7A00"/>
    <w:rsid w:val="006011B6"/>
    <w:rsid w:val="00601B82"/>
    <w:rsid w:val="00601BEF"/>
    <w:rsid w:val="00602626"/>
    <w:rsid w:val="0060283C"/>
    <w:rsid w:val="00604F14"/>
    <w:rsid w:val="006063D3"/>
    <w:rsid w:val="00607334"/>
    <w:rsid w:val="00607CB3"/>
    <w:rsid w:val="00611B83"/>
    <w:rsid w:val="00613257"/>
    <w:rsid w:val="006168A7"/>
    <w:rsid w:val="00616B14"/>
    <w:rsid w:val="00616B42"/>
    <w:rsid w:val="006174E3"/>
    <w:rsid w:val="006202EE"/>
    <w:rsid w:val="00620A71"/>
    <w:rsid w:val="00620D80"/>
    <w:rsid w:val="00621C7D"/>
    <w:rsid w:val="006234A6"/>
    <w:rsid w:val="006237D3"/>
    <w:rsid w:val="00625793"/>
    <w:rsid w:val="00625A3B"/>
    <w:rsid w:val="006260FE"/>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624E"/>
    <w:rsid w:val="00650AB9"/>
    <w:rsid w:val="006534CE"/>
    <w:rsid w:val="00653DA9"/>
    <w:rsid w:val="00653F73"/>
    <w:rsid w:val="00654CAA"/>
    <w:rsid w:val="00655733"/>
    <w:rsid w:val="00655ACD"/>
    <w:rsid w:val="00655C44"/>
    <w:rsid w:val="00655EB3"/>
    <w:rsid w:val="00655EBB"/>
    <w:rsid w:val="006561C8"/>
    <w:rsid w:val="00656A19"/>
    <w:rsid w:val="00656A92"/>
    <w:rsid w:val="00656DDE"/>
    <w:rsid w:val="00657183"/>
    <w:rsid w:val="0066011D"/>
    <w:rsid w:val="006607C0"/>
    <w:rsid w:val="00660FFA"/>
    <w:rsid w:val="006613A6"/>
    <w:rsid w:val="006617FC"/>
    <w:rsid w:val="00661AB0"/>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5F1A"/>
    <w:rsid w:val="006771F9"/>
    <w:rsid w:val="006776D7"/>
    <w:rsid w:val="00681003"/>
    <w:rsid w:val="006817C9"/>
    <w:rsid w:val="006828CE"/>
    <w:rsid w:val="006835B2"/>
    <w:rsid w:val="00683A34"/>
    <w:rsid w:val="00683ECE"/>
    <w:rsid w:val="00683FA0"/>
    <w:rsid w:val="006865DE"/>
    <w:rsid w:val="006916EA"/>
    <w:rsid w:val="00691DBC"/>
    <w:rsid w:val="00693303"/>
    <w:rsid w:val="00693D18"/>
    <w:rsid w:val="006940AF"/>
    <w:rsid w:val="00694208"/>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4241"/>
    <w:rsid w:val="006C4F4B"/>
    <w:rsid w:val="006C5EC9"/>
    <w:rsid w:val="006C6059"/>
    <w:rsid w:val="006C7522"/>
    <w:rsid w:val="006D0874"/>
    <w:rsid w:val="006D0C44"/>
    <w:rsid w:val="006D178A"/>
    <w:rsid w:val="006D3CAD"/>
    <w:rsid w:val="006D5BE6"/>
    <w:rsid w:val="006D6F08"/>
    <w:rsid w:val="006D73C6"/>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6101"/>
    <w:rsid w:val="00706B96"/>
    <w:rsid w:val="00707072"/>
    <w:rsid w:val="00707D61"/>
    <w:rsid w:val="00712287"/>
    <w:rsid w:val="00712772"/>
    <w:rsid w:val="00713286"/>
    <w:rsid w:val="00713303"/>
    <w:rsid w:val="007148D3"/>
    <w:rsid w:val="00715B9A"/>
    <w:rsid w:val="007167EA"/>
    <w:rsid w:val="00717B89"/>
    <w:rsid w:val="00720C6E"/>
    <w:rsid w:val="00721B32"/>
    <w:rsid w:val="007239BD"/>
    <w:rsid w:val="007240A3"/>
    <w:rsid w:val="007257D0"/>
    <w:rsid w:val="00726EA6"/>
    <w:rsid w:val="00727208"/>
    <w:rsid w:val="00727680"/>
    <w:rsid w:val="00727CB1"/>
    <w:rsid w:val="00730FE5"/>
    <w:rsid w:val="00731F85"/>
    <w:rsid w:val="00732F0D"/>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67091"/>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85EC4"/>
    <w:rsid w:val="007875A7"/>
    <w:rsid w:val="007909CC"/>
    <w:rsid w:val="007909FE"/>
    <w:rsid w:val="007917A9"/>
    <w:rsid w:val="007925EA"/>
    <w:rsid w:val="00793893"/>
    <w:rsid w:val="00793CD8"/>
    <w:rsid w:val="00795C92"/>
    <w:rsid w:val="00796231"/>
    <w:rsid w:val="00796273"/>
    <w:rsid w:val="00796F5E"/>
    <w:rsid w:val="007A1CB3"/>
    <w:rsid w:val="007A29F6"/>
    <w:rsid w:val="007A306F"/>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2187"/>
    <w:rsid w:val="007D4E53"/>
    <w:rsid w:val="007D5901"/>
    <w:rsid w:val="007D6BC7"/>
    <w:rsid w:val="007D6D5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0"/>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80"/>
    <w:rsid w:val="00801590"/>
    <w:rsid w:val="00801850"/>
    <w:rsid w:val="00801BB4"/>
    <w:rsid w:val="00801C30"/>
    <w:rsid w:val="008020BF"/>
    <w:rsid w:val="0080218E"/>
    <w:rsid w:val="008026EC"/>
    <w:rsid w:val="008037ED"/>
    <w:rsid w:val="00803FAE"/>
    <w:rsid w:val="00804323"/>
    <w:rsid w:val="00805298"/>
    <w:rsid w:val="008058F7"/>
    <w:rsid w:val="0080605F"/>
    <w:rsid w:val="00807786"/>
    <w:rsid w:val="0081066E"/>
    <w:rsid w:val="00810C1F"/>
    <w:rsid w:val="00811FCB"/>
    <w:rsid w:val="008128BA"/>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AB4"/>
    <w:rsid w:val="00824B6C"/>
    <w:rsid w:val="00825A9A"/>
    <w:rsid w:val="00825C42"/>
    <w:rsid w:val="00825D25"/>
    <w:rsid w:val="00826C46"/>
    <w:rsid w:val="00827510"/>
    <w:rsid w:val="00827C1A"/>
    <w:rsid w:val="00827D6F"/>
    <w:rsid w:val="00831FD8"/>
    <w:rsid w:val="008324AA"/>
    <w:rsid w:val="00832CFE"/>
    <w:rsid w:val="0083387D"/>
    <w:rsid w:val="00834A09"/>
    <w:rsid w:val="00834D20"/>
    <w:rsid w:val="00835D4A"/>
    <w:rsid w:val="00836392"/>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7BF"/>
    <w:rsid w:val="00866939"/>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2189"/>
    <w:rsid w:val="0088304E"/>
    <w:rsid w:val="00887433"/>
    <w:rsid w:val="008911B8"/>
    <w:rsid w:val="008914F4"/>
    <w:rsid w:val="00892448"/>
    <w:rsid w:val="00892FE8"/>
    <w:rsid w:val="00893935"/>
    <w:rsid w:val="00893D4C"/>
    <w:rsid w:val="008941E3"/>
    <w:rsid w:val="00894A88"/>
    <w:rsid w:val="00895386"/>
    <w:rsid w:val="0089752D"/>
    <w:rsid w:val="008976B0"/>
    <w:rsid w:val="00897E79"/>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CBA"/>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2259"/>
    <w:rsid w:val="008D34F1"/>
    <w:rsid w:val="008D39D8"/>
    <w:rsid w:val="008D3E69"/>
    <w:rsid w:val="008D57F8"/>
    <w:rsid w:val="008D6D1A"/>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9F3"/>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0D92"/>
    <w:rsid w:val="00931BD9"/>
    <w:rsid w:val="00931C30"/>
    <w:rsid w:val="00933097"/>
    <w:rsid w:val="00934411"/>
    <w:rsid w:val="00935192"/>
    <w:rsid w:val="00935496"/>
    <w:rsid w:val="00936113"/>
    <w:rsid w:val="00936867"/>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4F34"/>
    <w:rsid w:val="00955EDE"/>
    <w:rsid w:val="00956628"/>
    <w:rsid w:val="00956770"/>
    <w:rsid w:val="0095681E"/>
    <w:rsid w:val="00957191"/>
    <w:rsid w:val="009572D4"/>
    <w:rsid w:val="0096128E"/>
    <w:rsid w:val="00961921"/>
    <w:rsid w:val="009627D6"/>
    <w:rsid w:val="00963AAB"/>
    <w:rsid w:val="00963C85"/>
    <w:rsid w:val="0096430A"/>
    <w:rsid w:val="009647EF"/>
    <w:rsid w:val="0096554B"/>
    <w:rsid w:val="009655C6"/>
    <w:rsid w:val="0096584A"/>
    <w:rsid w:val="00966503"/>
    <w:rsid w:val="009677AE"/>
    <w:rsid w:val="00967A0A"/>
    <w:rsid w:val="00967FB8"/>
    <w:rsid w:val="00970ECA"/>
    <w:rsid w:val="00971ED5"/>
    <w:rsid w:val="00971F08"/>
    <w:rsid w:val="009725FC"/>
    <w:rsid w:val="009726F0"/>
    <w:rsid w:val="009757A5"/>
    <w:rsid w:val="00975F66"/>
    <w:rsid w:val="0097603D"/>
    <w:rsid w:val="00976949"/>
    <w:rsid w:val="00976DE8"/>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5B1"/>
    <w:rsid w:val="009931DC"/>
    <w:rsid w:val="009939FD"/>
    <w:rsid w:val="00994749"/>
    <w:rsid w:val="00994DCA"/>
    <w:rsid w:val="00995018"/>
    <w:rsid w:val="009950F4"/>
    <w:rsid w:val="009960EC"/>
    <w:rsid w:val="009966A5"/>
    <w:rsid w:val="009970DD"/>
    <w:rsid w:val="0099790F"/>
    <w:rsid w:val="009A0C4F"/>
    <w:rsid w:val="009A0FBA"/>
    <w:rsid w:val="009A132E"/>
    <w:rsid w:val="009A1355"/>
    <w:rsid w:val="009A1601"/>
    <w:rsid w:val="009A23FE"/>
    <w:rsid w:val="009A3BB6"/>
    <w:rsid w:val="009A441D"/>
    <w:rsid w:val="009A462D"/>
    <w:rsid w:val="009A4A85"/>
    <w:rsid w:val="009A5CBA"/>
    <w:rsid w:val="009A64D7"/>
    <w:rsid w:val="009B159F"/>
    <w:rsid w:val="009B1F2C"/>
    <w:rsid w:val="009B1F30"/>
    <w:rsid w:val="009B2B63"/>
    <w:rsid w:val="009B31C0"/>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F08F3"/>
    <w:rsid w:val="009F1E19"/>
    <w:rsid w:val="009F344F"/>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6C0F"/>
    <w:rsid w:val="00A1718A"/>
    <w:rsid w:val="00A17F63"/>
    <w:rsid w:val="00A214C7"/>
    <w:rsid w:val="00A2193B"/>
    <w:rsid w:val="00A2351A"/>
    <w:rsid w:val="00A240AA"/>
    <w:rsid w:val="00A24E87"/>
    <w:rsid w:val="00A264A9"/>
    <w:rsid w:val="00A26DCF"/>
    <w:rsid w:val="00A27230"/>
    <w:rsid w:val="00A27785"/>
    <w:rsid w:val="00A30187"/>
    <w:rsid w:val="00A32BE3"/>
    <w:rsid w:val="00A32FC1"/>
    <w:rsid w:val="00A3448A"/>
    <w:rsid w:val="00A34551"/>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71AC"/>
    <w:rsid w:val="00A9103F"/>
    <w:rsid w:val="00A92796"/>
    <w:rsid w:val="00A92879"/>
    <w:rsid w:val="00A9442A"/>
    <w:rsid w:val="00A955F1"/>
    <w:rsid w:val="00A96B75"/>
    <w:rsid w:val="00AA016F"/>
    <w:rsid w:val="00AA192D"/>
    <w:rsid w:val="00AA1ED6"/>
    <w:rsid w:val="00AA24BA"/>
    <w:rsid w:val="00AA35E8"/>
    <w:rsid w:val="00AA3E67"/>
    <w:rsid w:val="00AA4D90"/>
    <w:rsid w:val="00AA51D6"/>
    <w:rsid w:val="00AA54BE"/>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F1C5D"/>
    <w:rsid w:val="00AF231E"/>
    <w:rsid w:val="00AF2D76"/>
    <w:rsid w:val="00AF42D7"/>
    <w:rsid w:val="00AF4E80"/>
    <w:rsid w:val="00AF79F8"/>
    <w:rsid w:val="00AF7C50"/>
    <w:rsid w:val="00B006FE"/>
    <w:rsid w:val="00B007CB"/>
    <w:rsid w:val="00B02363"/>
    <w:rsid w:val="00B02AA9"/>
    <w:rsid w:val="00B02FA3"/>
    <w:rsid w:val="00B040D7"/>
    <w:rsid w:val="00B05084"/>
    <w:rsid w:val="00B06E0C"/>
    <w:rsid w:val="00B07933"/>
    <w:rsid w:val="00B12137"/>
    <w:rsid w:val="00B12619"/>
    <w:rsid w:val="00B13BA0"/>
    <w:rsid w:val="00B154CB"/>
    <w:rsid w:val="00B157F9"/>
    <w:rsid w:val="00B16438"/>
    <w:rsid w:val="00B1719B"/>
    <w:rsid w:val="00B20256"/>
    <w:rsid w:val="00B20972"/>
    <w:rsid w:val="00B20D09"/>
    <w:rsid w:val="00B20E7F"/>
    <w:rsid w:val="00B21AE5"/>
    <w:rsid w:val="00B222BF"/>
    <w:rsid w:val="00B245C8"/>
    <w:rsid w:val="00B266E5"/>
    <w:rsid w:val="00B27345"/>
    <w:rsid w:val="00B2763F"/>
    <w:rsid w:val="00B27AAC"/>
    <w:rsid w:val="00B30929"/>
    <w:rsid w:val="00B32CEA"/>
    <w:rsid w:val="00B332A9"/>
    <w:rsid w:val="00B33AD3"/>
    <w:rsid w:val="00B347CC"/>
    <w:rsid w:val="00B353FC"/>
    <w:rsid w:val="00B3586C"/>
    <w:rsid w:val="00B35FC1"/>
    <w:rsid w:val="00B36D4D"/>
    <w:rsid w:val="00B3704C"/>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64C7"/>
    <w:rsid w:val="00B66CF2"/>
    <w:rsid w:val="00B713D8"/>
    <w:rsid w:val="00B723F6"/>
    <w:rsid w:val="00B72A1A"/>
    <w:rsid w:val="00B72DDD"/>
    <w:rsid w:val="00B739F6"/>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3B59"/>
    <w:rsid w:val="00B9406A"/>
    <w:rsid w:val="00B943B5"/>
    <w:rsid w:val="00B94EB4"/>
    <w:rsid w:val="00B9642F"/>
    <w:rsid w:val="00B96AD0"/>
    <w:rsid w:val="00BA04EB"/>
    <w:rsid w:val="00BA2280"/>
    <w:rsid w:val="00BA253D"/>
    <w:rsid w:val="00BA28B4"/>
    <w:rsid w:val="00BA2A08"/>
    <w:rsid w:val="00BA3159"/>
    <w:rsid w:val="00BA49A5"/>
    <w:rsid w:val="00BA56D2"/>
    <w:rsid w:val="00BA6447"/>
    <w:rsid w:val="00BA76E0"/>
    <w:rsid w:val="00BA78F4"/>
    <w:rsid w:val="00BA7B7D"/>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48AC"/>
    <w:rsid w:val="00BD4AD1"/>
    <w:rsid w:val="00BD560B"/>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F1DE3"/>
    <w:rsid w:val="00BF24F4"/>
    <w:rsid w:val="00BF3279"/>
    <w:rsid w:val="00BF3B54"/>
    <w:rsid w:val="00BF40B0"/>
    <w:rsid w:val="00BF4575"/>
    <w:rsid w:val="00BF50AE"/>
    <w:rsid w:val="00BF6940"/>
    <w:rsid w:val="00BF74C7"/>
    <w:rsid w:val="00C011F0"/>
    <w:rsid w:val="00C015F1"/>
    <w:rsid w:val="00C01F33"/>
    <w:rsid w:val="00C02CC6"/>
    <w:rsid w:val="00C0389B"/>
    <w:rsid w:val="00C040F7"/>
    <w:rsid w:val="00C044AB"/>
    <w:rsid w:val="00C04E89"/>
    <w:rsid w:val="00C0553E"/>
    <w:rsid w:val="00C05706"/>
    <w:rsid w:val="00C058D5"/>
    <w:rsid w:val="00C07377"/>
    <w:rsid w:val="00C10326"/>
    <w:rsid w:val="00C10478"/>
    <w:rsid w:val="00C10F74"/>
    <w:rsid w:val="00C11271"/>
    <w:rsid w:val="00C114F3"/>
    <w:rsid w:val="00C12084"/>
    <w:rsid w:val="00C12107"/>
    <w:rsid w:val="00C12B51"/>
    <w:rsid w:val="00C13B07"/>
    <w:rsid w:val="00C1462B"/>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19D"/>
    <w:rsid w:val="00C40616"/>
    <w:rsid w:val="00C42007"/>
    <w:rsid w:val="00C43684"/>
    <w:rsid w:val="00C43D9D"/>
    <w:rsid w:val="00C448BA"/>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B81"/>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3E66"/>
    <w:rsid w:val="00C86D3F"/>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23C5"/>
    <w:rsid w:val="00CA41B5"/>
    <w:rsid w:val="00CA435C"/>
    <w:rsid w:val="00CA4366"/>
    <w:rsid w:val="00CA4E7A"/>
    <w:rsid w:val="00CA5D0C"/>
    <w:rsid w:val="00CB1055"/>
    <w:rsid w:val="00CB1061"/>
    <w:rsid w:val="00CB1986"/>
    <w:rsid w:val="00CB1F63"/>
    <w:rsid w:val="00CB5407"/>
    <w:rsid w:val="00CB5640"/>
    <w:rsid w:val="00CB5AF1"/>
    <w:rsid w:val="00CB6AE3"/>
    <w:rsid w:val="00CB7170"/>
    <w:rsid w:val="00CC040E"/>
    <w:rsid w:val="00CC096E"/>
    <w:rsid w:val="00CC111F"/>
    <w:rsid w:val="00CC1729"/>
    <w:rsid w:val="00CC2011"/>
    <w:rsid w:val="00CC212D"/>
    <w:rsid w:val="00CC3EA0"/>
    <w:rsid w:val="00CC3F42"/>
    <w:rsid w:val="00CC7248"/>
    <w:rsid w:val="00CC758E"/>
    <w:rsid w:val="00CC7B45"/>
    <w:rsid w:val="00CD00A0"/>
    <w:rsid w:val="00CD1188"/>
    <w:rsid w:val="00CD271D"/>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206"/>
    <w:rsid w:val="00D214D9"/>
    <w:rsid w:val="00D2335D"/>
    <w:rsid w:val="00D237EC"/>
    <w:rsid w:val="00D239A7"/>
    <w:rsid w:val="00D23F47"/>
    <w:rsid w:val="00D240DC"/>
    <w:rsid w:val="00D27A37"/>
    <w:rsid w:val="00D27B3B"/>
    <w:rsid w:val="00D311F7"/>
    <w:rsid w:val="00D31200"/>
    <w:rsid w:val="00D32406"/>
    <w:rsid w:val="00D326E7"/>
    <w:rsid w:val="00D346A5"/>
    <w:rsid w:val="00D36E71"/>
    <w:rsid w:val="00D375F0"/>
    <w:rsid w:val="00D37D87"/>
    <w:rsid w:val="00D4066C"/>
    <w:rsid w:val="00D4079A"/>
    <w:rsid w:val="00D40B33"/>
    <w:rsid w:val="00D4268C"/>
    <w:rsid w:val="00D426F1"/>
    <w:rsid w:val="00D4271D"/>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1F85"/>
    <w:rsid w:val="00DC2D36"/>
    <w:rsid w:val="00DC3DE8"/>
    <w:rsid w:val="00DC53EF"/>
    <w:rsid w:val="00DD2253"/>
    <w:rsid w:val="00DD2265"/>
    <w:rsid w:val="00DD244D"/>
    <w:rsid w:val="00DD4398"/>
    <w:rsid w:val="00DD4B21"/>
    <w:rsid w:val="00DD4E7C"/>
    <w:rsid w:val="00DD4FE9"/>
    <w:rsid w:val="00DD56FB"/>
    <w:rsid w:val="00DD7333"/>
    <w:rsid w:val="00DD7789"/>
    <w:rsid w:val="00DD7C03"/>
    <w:rsid w:val="00DD7D20"/>
    <w:rsid w:val="00DE3758"/>
    <w:rsid w:val="00DE3898"/>
    <w:rsid w:val="00DE39D9"/>
    <w:rsid w:val="00DE423A"/>
    <w:rsid w:val="00DE5608"/>
    <w:rsid w:val="00DE58D0"/>
    <w:rsid w:val="00DE654F"/>
    <w:rsid w:val="00DE7160"/>
    <w:rsid w:val="00DE78F0"/>
    <w:rsid w:val="00DE7B7A"/>
    <w:rsid w:val="00DF0B6E"/>
    <w:rsid w:val="00DF12A3"/>
    <w:rsid w:val="00DF15E0"/>
    <w:rsid w:val="00DF2A47"/>
    <w:rsid w:val="00DF37A0"/>
    <w:rsid w:val="00DF3F13"/>
    <w:rsid w:val="00DF50C7"/>
    <w:rsid w:val="00DF572A"/>
    <w:rsid w:val="00DF6609"/>
    <w:rsid w:val="00DF69B7"/>
    <w:rsid w:val="00DF755C"/>
    <w:rsid w:val="00DF7F73"/>
    <w:rsid w:val="00E00075"/>
    <w:rsid w:val="00E00861"/>
    <w:rsid w:val="00E02161"/>
    <w:rsid w:val="00E030A0"/>
    <w:rsid w:val="00E03732"/>
    <w:rsid w:val="00E03A58"/>
    <w:rsid w:val="00E042BF"/>
    <w:rsid w:val="00E0468E"/>
    <w:rsid w:val="00E053C9"/>
    <w:rsid w:val="00E06B3C"/>
    <w:rsid w:val="00E07A49"/>
    <w:rsid w:val="00E07BE2"/>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330"/>
    <w:rsid w:val="00E224BF"/>
    <w:rsid w:val="00E2429E"/>
    <w:rsid w:val="00E24F8F"/>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780"/>
    <w:rsid w:val="00E54E3B"/>
    <w:rsid w:val="00E55968"/>
    <w:rsid w:val="00E56928"/>
    <w:rsid w:val="00E57565"/>
    <w:rsid w:val="00E60D43"/>
    <w:rsid w:val="00E63838"/>
    <w:rsid w:val="00E63A32"/>
    <w:rsid w:val="00E64434"/>
    <w:rsid w:val="00E64EEB"/>
    <w:rsid w:val="00E65A7D"/>
    <w:rsid w:val="00E66171"/>
    <w:rsid w:val="00E66621"/>
    <w:rsid w:val="00E67C51"/>
    <w:rsid w:val="00E713E4"/>
    <w:rsid w:val="00E72554"/>
    <w:rsid w:val="00E72EFC"/>
    <w:rsid w:val="00E7306E"/>
    <w:rsid w:val="00E733B5"/>
    <w:rsid w:val="00E74636"/>
    <w:rsid w:val="00E758EC"/>
    <w:rsid w:val="00E7672F"/>
    <w:rsid w:val="00E76B93"/>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3F41"/>
    <w:rsid w:val="00EB48DB"/>
    <w:rsid w:val="00EB4EA2"/>
    <w:rsid w:val="00EB66C2"/>
    <w:rsid w:val="00EB6CED"/>
    <w:rsid w:val="00EB7DC9"/>
    <w:rsid w:val="00EC0082"/>
    <w:rsid w:val="00EC039F"/>
    <w:rsid w:val="00EC19F9"/>
    <w:rsid w:val="00EC24D5"/>
    <w:rsid w:val="00EC2689"/>
    <w:rsid w:val="00EC27C6"/>
    <w:rsid w:val="00EC2AC8"/>
    <w:rsid w:val="00EC4207"/>
    <w:rsid w:val="00EC500E"/>
    <w:rsid w:val="00EC5653"/>
    <w:rsid w:val="00EC5E4B"/>
    <w:rsid w:val="00EC5F72"/>
    <w:rsid w:val="00EC71CE"/>
    <w:rsid w:val="00EC7A1A"/>
    <w:rsid w:val="00ED0ADD"/>
    <w:rsid w:val="00ED1006"/>
    <w:rsid w:val="00ED241B"/>
    <w:rsid w:val="00ED3FF9"/>
    <w:rsid w:val="00ED4653"/>
    <w:rsid w:val="00ED4EDB"/>
    <w:rsid w:val="00ED55D3"/>
    <w:rsid w:val="00ED6E4D"/>
    <w:rsid w:val="00ED7222"/>
    <w:rsid w:val="00ED7921"/>
    <w:rsid w:val="00ED79C1"/>
    <w:rsid w:val="00EE081E"/>
    <w:rsid w:val="00EE2165"/>
    <w:rsid w:val="00EE3A61"/>
    <w:rsid w:val="00EE5D2B"/>
    <w:rsid w:val="00EE7492"/>
    <w:rsid w:val="00EE7CCD"/>
    <w:rsid w:val="00EF18FE"/>
    <w:rsid w:val="00EF272F"/>
    <w:rsid w:val="00EF38BB"/>
    <w:rsid w:val="00EF5787"/>
    <w:rsid w:val="00EF5DD7"/>
    <w:rsid w:val="00EF60D0"/>
    <w:rsid w:val="00EF735D"/>
    <w:rsid w:val="00EF7C5F"/>
    <w:rsid w:val="00F01AB7"/>
    <w:rsid w:val="00F02BB9"/>
    <w:rsid w:val="00F04C1F"/>
    <w:rsid w:val="00F0528D"/>
    <w:rsid w:val="00F06904"/>
    <w:rsid w:val="00F06C67"/>
    <w:rsid w:val="00F06DFD"/>
    <w:rsid w:val="00F071D1"/>
    <w:rsid w:val="00F07533"/>
    <w:rsid w:val="00F07874"/>
    <w:rsid w:val="00F10629"/>
    <w:rsid w:val="00F1178C"/>
    <w:rsid w:val="00F11CF5"/>
    <w:rsid w:val="00F129BB"/>
    <w:rsid w:val="00F13C62"/>
    <w:rsid w:val="00F15683"/>
    <w:rsid w:val="00F15FA5"/>
    <w:rsid w:val="00F17693"/>
    <w:rsid w:val="00F2064F"/>
    <w:rsid w:val="00F209B7"/>
    <w:rsid w:val="00F22A9F"/>
    <w:rsid w:val="00F2376F"/>
    <w:rsid w:val="00F243D8"/>
    <w:rsid w:val="00F2505D"/>
    <w:rsid w:val="00F26C8C"/>
    <w:rsid w:val="00F27D66"/>
    <w:rsid w:val="00F30382"/>
    <w:rsid w:val="00F30828"/>
    <w:rsid w:val="00F313D6"/>
    <w:rsid w:val="00F34F5A"/>
    <w:rsid w:val="00F3523A"/>
    <w:rsid w:val="00F37575"/>
    <w:rsid w:val="00F40F0C"/>
    <w:rsid w:val="00F416CA"/>
    <w:rsid w:val="00F41D81"/>
    <w:rsid w:val="00F41F88"/>
    <w:rsid w:val="00F42C15"/>
    <w:rsid w:val="00F44FD8"/>
    <w:rsid w:val="00F457C5"/>
    <w:rsid w:val="00F46695"/>
    <w:rsid w:val="00F4766C"/>
    <w:rsid w:val="00F47FA2"/>
    <w:rsid w:val="00F5060E"/>
    <w:rsid w:val="00F507D1"/>
    <w:rsid w:val="00F519CE"/>
    <w:rsid w:val="00F51ADA"/>
    <w:rsid w:val="00F5208F"/>
    <w:rsid w:val="00F529FA"/>
    <w:rsid w:val="00F52E73"/>
    <w:rsid w:val="00F534D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17CE"/>
    <w:rsid w:val="00F81C39"/>
    <w:rsid w:val="00F8456C"/>
    <w:rsid w:val="00F859D8"/>
    <w:rsid w:val="00F868F5"/>
    <w:rsid w:val="00F87E94"/>
    <w:rsid w:val="00F90337"/>
    <w:rsid w:val="00F9056A"/>
    <w:rsid w:val="00F90791"/>
    <w:rsid w:val="00F9089D"/>
    <w:rsid w:val="00F90F8D"/>
    <w:rsid w:val="00F9137B"/>
    <w:rsid w:val="00F91904"/>
    <w:rsid w:val="00F92782"/>
    <w:rsid w:val="00F93AA9"/>
    <w:rsid w:val="00F94CC0"/>
    <w:rsid w:val="00F951E0"/>
    <w:rsid w:val="00F96985"/>
    <w:rsid w:val="00F97661"/>
    <w:rsid w:val="00F97838"/>
    <w:rsid w:val="00FA012D"/>
    <w:rsid w:val="00FA11DA"/>
    <w:rsid w:val="00FA1A94"/>
    <w:rsid w:val="00FA2A89"/>
    <w:rsid w:val="00FA2BB3"/>
    <w:rsid w:val="00FA36CE"/>
    <w:rsid w:val="00FA39DF"/>
    <w:rsid w:val="00FA457B"/>
    <w:rsid w:val="00FA67F7"/>
    <w:rsid w:val="00FB0CB5"/>
    <w:rsid w:val="00FB1B26"/>
    <w:rsid w:val="00FB3038"/>
    <w:rsid w:val="00FB3416"/>
    <w:rsid w:val="00FB4436"/>
    <w:rsid w:val="00FB4C80"/>
    <w:rsid w:val="00FB559D"/>
    <w:rsid w:val="00FB5726"/>
    <w:rsid w:val="00FB5FC3"/>
    <w:rsid w:val="00FB6A6A"/>
    <w:rsid w:val="00FB6D86"/>
    <w:rsid w:val="00FB7A15"/>
    <w:rsid w:val="00FB7A55"/>
    <w:rsid w:val="00FC00F9"/>
    <w:rsid w:val="00FC1681"/>
    <w:rsid w:val="00FC4D76"/>
    <w:rsid w:val="00FC4E78"/>
    <w:rsid w:val="00FC6BCD"/>
    <w:rsid w:val="00FC7429"/>
    <w:rsid w:val="00FD07F6"/>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1910728518">
          <w:marLeft w:val="360"/>
          <w:marRight w:val="0"/>
          <w:marTop w:val="2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400249056">
          <w:marLeft w:val="1080"/>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52595520">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212204">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2183036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5070745">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108574042">
          <w:marLeft w:val="360"/>
          <w:marRight w:val="0"/>
          <w:marTop w:val="2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250050557">
          <w:marLeft w:val="1987"/>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72976839">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77538203">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terms/"/>
    <ds:schemaRef ds:uri="2f282d3b-eb4a-4b09-b61f-b9593442e286"/>
    <ds:schemaRef ds:uri="9b239327-9e80-40e4-b1b7-4394fed77a33"/>
    <ds:schemaRef ds:uri="http://schemas.microsoft.com/sharepoint/v3"/>
    <ds:schemaRef ds:uri="http://purl.org/dc/elements/1.1/"/>
  </ds:schemaRefs>
</ds:datastoreItem>
</file>

<file path=customXml/itemProps4.xml><?xml version="1.0" encoding="utf-8"?>
<ds:datastoreItem xmlns:ds="http://schemas.openxmlformats.org/officeDocument/2006/customXml" ds:itemID="{824ED5C0-A0C1-4989-AE9C-71F07F3FE220}"/>
</file>

<file path=docProps/app.xml><?xml version="1.0" encoding="utf-8"?>
<Properties xmlns="http://schemas.openxmlformats.org/officeDocument/2006/extended-properties" xmlns:vt="http://schemas.openxmlformats.org/officeDocument/2006/docPropsVTypes">
  <Template>Normal.dotm</Template>
  <TotalTime>19697</TotalTime>
  <Pages>6</Pages>
  <Words>2444</Words>
  <Characters>14012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16424</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861</cp:revision>
  <cp:lastPrinted>2008-01-31T16:09:00Z</cp:lastPrinted>
  <dcterms:created xsi:type="dcterms:W3CDTF">2021-03-30T17:57:00Z</dcterms:created>
  <dcterms:modified xsi:type="dcterms:W3CDTF">2021-11-06T02:03:00Z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